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A95" w:rsidRPr="00AF3A95" w:rsidRDefault="00AF3A95" w:rsidP="00AF3A95">
      <w:pPr>
        <w:spacing w:before="240" w:after="80"/>
        <w:outlineLvl w:val="1"/>
        <w:rPr>
          <w:rFonts w:ascii="Tw Cen MT" w:eastAsia="Tw Cen MT" w:hAnsi="Tw Cen MT" w:cs="Times New Roman"/>
          <w:b/>
          <w:color w:val="94B6D2"/>
          <w:spacing w:val="20"/>
          <w:kern w:val="24"/>
          <w:sz w:val="28"/>
          <w:szCs w:val="28"/>
          <w:lang w:eastAsia="ja-JP"/>
          <w14:ligatures w14:val="standardContextual"/>
        </w:rPr>
      </w:pPr>
      <w:bookmarkStart w:id="0" w:name="_Toc398724591"/>
      <w:bookmarkStart w:id="1" w:name="_Toc398891756"/>
      <w:r w:rsidRPr="00AF3A95">
        <w:rPr>
          <w:rFonts w:ascii="Tw Cen MT" w:eastAsia="Tw Cen MT" w:hAnsi="Tw Cen MT" w:cs="Times New Roman"/>
          <w:b/>
          <w:color w:val="94B6D2"/>
          <w:spacing w:val="20"/>
          <w:kern w:val="24"/>
          <w:sz w:val="28"/>
          <w:szCs w:val="28"/>
          <w:lang w:eastAsia="ja-JP"/>
          <w14:ligatures w14:val="standardContextual"/>
        </w:rPr>
        <w:t>Utah Division o</w:t>
      </w:r>
      <w:bookmarkStart w:id="2" w:name="_GoBack"/>
      <w:bookmarkEnd w:id="2"/>
      <w:r w:rsidRPr="00AF3A95">
        <w:rPr>
          <w:rFonts w:ascii="Tw Cen MT" w:eastAsia="Tw Cen MT" w:hAnsi="Tw Cen MT" w:cs="Times New Roman"/>
          <w:b/>
          <w:color w:val="94B6D2"/>
          <w:spacing w:val="20"/>
          <w:kern w:val="24"/>
          <w:sz w:val="28"/>
          <w:szCs w:val="28"/>
          <w:lang w:eastAsia="ja-JP"/>
          <w14:ligatures w14:val="standardContextual"/>
        </w:rPr>
        <w:t>f Water Quality’s Tiered Framework</w:t>
      </w:r>
      <w:bookmarkEnd w:id="0"/>
      <w:bookmarkEnd w:id="1"/>
    </w:p>
    <w:p w:rsidR="00AF3A95" w:rsidRPr="00AF3A95" w:rsidRDefault="00AF3A95" w:rsidP="00AF3A95">
      <w:pPr>
        <w:spacing w:after="180"/>
        <w:rPr>
          <w:rFonts w:ascii="Tw Cen MT" w:eastAsia="Tw Cen MT" w:hAnsi="Tw Cen MT" w:cs="Times New Roman"/>
          <w:kern w:val="24"/>
          <w:sz w:val="23"/>
          <w:szCs w:val="20"/>
          <w:lang w:eastAsia="ja-JP"/>
          <w14:ligatures w14:val="standardContextual"/>
        </w:rPr>
      </w:pPr>
      <w:r w:rsidRPr="00AF3A95">
        <w:rPr>
          <w:rFonts w:ascii="Tw Cen MT" w:eastAsia="Tw Cen MT" w:hAnsi="Tw Cen MT" w:cs="Times New Roman"/>
          <w:kern w:val="24"/>
          <w:sz w:val="23"/>
          <w:szCs w:val="20"/>
          <w:lang w:eastAsia="ja-JP"/>
          <w14:ligatures w14:val="standardContextual"/>
        </w:rPr>
        <w:t>To integrate the various programmatic data needs within the division, DWQ employs an adaptive approach to its annual monitoring plans, which allows for an efficient and adaptive monitoring and management program.</w:t>
      </w:r>
    </w:p>
    <w:p w:rsidR="00AF3A95" w:rsidRPr="00AF3A95" w:rsidRDefault="00AF3A95" w:rsidP="00AF3A95">
      <w:pPr>
        <w:spacing w:after="180"/>
        <w:rPr>
          <w:rFonts w:ascii="Tw Cen MT" w:eastAsia="Tw Cen MT" w:hAnsi="Tw Cen MT" w:cs="Times New Roman"/>
          <w:kern w:val="24"/>
          <w:sz w:val="23"/>
          <w:szCs w:val="20"/>
          <w:lang w:eastAsia="ja-JP"/>
          <w14:ligatures w14:val="standardContextual"/>
        </w:rPr>
      </w:pPr>
      <w:r w:rsidRPr="00AF3A95">
        <w:rPr>
          <w:rFonts w:ascii="Tw Cen MT" w:eastAsia="Tw Cen MT" w:hAnsi="Tw Cen MT" w:cs="Times New Roman"/>
          <w:kern w:val="24"/>
          <w:sz w:val="23"/>
          <w:szCs w:val="20"/>
          <w:lang w:eastAsia="ja-JP"/>
          <w14:ligatures w14:val="standardContextual"/>
        </w:rPr>
        <w:t xml:space="preserve">This tiered adaptive monitoring and management framework for DWQ allows the division to develop robust datasets in </w:t>
      </w:r>
      <w:r>
        <w:rPr>
          <w:rFonts w:ascii="Tw Cen MT" w:eastAsia="Tw Cen MT" w:hAnsi="Tw Cen MT" w:cs="Times New Roman"/>
          <w:kern w:val="24"/>
          <w:sz w:val="23"/>
          <w:szCs w:val="20"/>
          <w:lang w:eastAsia="ja-JP"/>
          <w14:ligatures w14:val="standardContextual"/>
        </w:rPr>
        <w:t>Year 1</w:t>
      </w:r>
      <w:r w:rsidRPr="00AF3A95">
        <w:rPr>
          <w:rFonts w:ascii="Tw Cen MT" w:eastAsia="Tw Cen MT" w:hAnsi="Tw Cen MT" w:cs="Times New Roman"/>
          <w:kern w:val="24"/>
          <w:sz w:val="23"/>
          <w:szCs w:val="20"/>
          <w:lang w:eastAsia="ja-JP"/>
          <w14:ligatures w14:val="standardContextual"/>
        </w:rPr>
        <w:t xml:space="preserve"> that inform the data collection and assessment decision making in subsequent years (Figure 1-3). In this adaptive program, monitoring continues to iteratively improve the knowledgebase of management, so decision making is based on the best science available. As more information becomes available, the scientific uncertainty about the ecosystem is reduced, and initial actions and management decisions are revisited and refined (see Figure 1-3). During the evaluation process at DWQ, the information that is gathered provides staff with critical input on how to adjust to the next round of monitoring in the three types of monitoring and assessment efforts described below.</w:t>
      </w:r>
    </w:p>
    <w:p w:rsidR="00AF3A95" w:rsidRPr="00AF3A95" w:rsidRDefault="00AF3A95" w:rsidP="00AF3A95">
      <w:pPr>
        <w:spacing w:after="180"/>
        <w:rPr>
          <w:rFonts w:ascii="Tw Cen MT" w:eastAsia="Tw Cen MT" w:hAnsi="Tw Cen MT" w:cs="Times New Roman"/>
          <w:kern w:val="24"/>
          <w:sz w:val="23"/>
          <w:szCs w:val="20"/>
          <w:lang w:eastAsia="ja-JP"/>
          <w14:ligatures w14:val="standardContextual"/>
        </w:rPr>
      </w:pPr>
      <w:r w:rsidRPr="00AF3A95">
        <w:rPr>
          <w:rFonts w:ascii="Franklin Gothic Book" w:eastAsia="Tw Cen MT" w:hAnsi="Franklin Gothic Book" w:cs="Times New Roman"/>
          <w:noProof/>
          <w:color w:val="0070C0"/>
          <w:kern w:val="24"/>
          <w:sz w:val="32"/>
          <w:szCs w:val="32"/>
          <w14:ligatures w14:val="standardContextual"/>
        </w:rPr>
        <w:drawing>
          <wp:inline distT="0" distB="0" distL="0" distR="0" wp14:anchorId="160E6AF3" wp14:editId="4229A825">
            <wp:extent cx="5380075" cy="3076108"/>
            <wp:effectExtent l="0" t="0" r="0" b="0"/>
            <wp:docPr id="1" name="Picture 1"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ture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80581" cy="3076397"/>
                    </a:xfrm>
                    <a:prstGeom prst="rect">
                      <a:avLst/>
                    </a:prstGeom>
                    <a:noFill/>
                    <a:ln>
                      <a:noFill/>
                    </a:ln>
                  </pic:spPr>
                </pic:pic>
              </a:graphicData>
            </a:graphic>
          </wp:inline>
        </w:drawing>
      </w:r>
    </w:p>
    <w:p w:rsidR="00AF3A95" w:rsidRPr="00AF3A95" w:rsidRDefault="00AF3A95" w:rsidP="00AF3A95">
      <w:pPr>
        <w:spacing w:after="180"/>
        <w:rPr>
          <w:rFonts w:ascii="Tw Cen MT" w:eastAsia="Tw Cen MT" w:hAnsi="Tw Cen MT" w:cs="Times New Roman"/>
          <w:kern w:val="24"/>
          <w:sz w:val="23"/>
          <w:szCs w:val="20"/>
          <w:lang w:eastAsia="ja-JP"/>
          <w14:ligatures w14:val="standardContextual"/>
        </w:rPr>
      </w:pPr>
      <w:r w:rsidRPr="00AF3A95">
        <w:rPr>
          <w:rFonts w:ascii="Tw Cen MT" w:eastAsia="Tw Cen MT" w:hAnsi="Tw Cen MT" w:cs="Times New Roman"/>
          <w:kern w:val="24"/>
          <w:sz w:val="23"/>
          <w:szCs w:val="20"/>
          <w:lang w:eastAsia="ja-JP"/>
          <w14:ligatures w14:val="standardContextual"/>
        </w:rPr>
        <w:t>Figure 1-3. DWQ’s adaptive monitoring approach.</w:t>
      </w:r>
    </w:p>
    <w:p w:rsidR="00AF3A95" w:rsidRPr="00AF3A95" w:rsidRDefault="00AF3A95" w:rsidP="00AF3A95">
      <w:pPr>
        <w:numPr>
          <w:ilvl w:val="0"/>
          <w:numId w:val="1"/>
        </w:numPr>
        <w:spacing w:after="180" w:line="264" w:lineRule="auto"/>
        <w:contextualSpacing/>
        <w:rPr>
          <w:rFonts w:ascii="Tw Cen MT" w:eastAsia="Tw Cen MT" w:hAnsi="Tw Cen MT" w:cs="Times New Roman"/>
          <w:kern w:val="24"/>
          <w:sz w:val="23"/>
          <w:szCs w:val="20"/>
          <w:lang w:eastAsia="ja-JP"/>
          <w14:ligatures w14:val="standardContextual"/>
        </w:rPr>
      </w:pPr>
      <w:r w:rsidRPr="00AF3A95">
        <w:rPr>
          <w:rFonts w:ascii="Tw Cen MT" w:eastAsia="Tw Cen MT" w:hAnsi="Tw Cen MT" w:cs="Times New Roman"/>
          <w:kern w:val="24"/>
          <w:sz w:val="23"/>
          <w:szCs w:val="20"/>
          <w:lang w:eastAsia="ja-JP"/>
          <w14:ligatures w14:val="standardContextual"/>
        </w:rPr>
        <w:t xml:space="preserve">Probabilistic Surveys: Designed to meet the reporting requirements of the 305(b), probabilistic surveys assess all waters of the state by randomly selecting and monitoring different </w:t>
      </w:r>
      <w:proofErr w:type="spellStart"/>
      <w:r w:rsidRPr="00AF3A95">
        <w:rPr>
          <w:rFonts w:ascii="Tw Cen MT" w:eastAsia="Tw Cen MT" w:hAnsi="Tw Cen MT" w:cs="Times New Roman"/>
          <w:kern w:val="24"/>
          <w:sz w:val="23"/>
          <w:szCs w:val="20"/>
          <w:lang w:eastAsia="ja-JP"/>
          <w14:ligatures w14:val="standardContextual"/>
        </w:rPr>
        <w:t>waterbodies</w:t>
      </w:r>
      <w:proofErr w:type="spellEnd"/>
      <w:r w:rsidRPr="00AF3A95">
        <w:rPr>
          <w:rFonts w:ascii="Tw Cen MT" w:eastAsia="Tw Cen MT" w:hAnsi="Tw Cen MT" w:cs="Times New Roman"/>
          <w:kern w:val="24"/>
          <w:sz w:val="23"/>
          <w:szCs w:val="20"/>
          <w:lang w:eastAsia="ja-JP"/>
          <w14:ligatures w14:val="standardContextual"/>
        </w:rPr>
        <w:t xml:space="preserve"> within one of the seven major watersheds in Utah (see Table 1-2 for the proposed rotating basin schedule over the next 8 years). The information collected from the environmental surveys is used to 1) assess the attainment of various designated uses (e.g., aquatic life and contact recreational uses) and 2) better understand the significant causes of pollution throughout Utah.</w:t>
      </w:r>
    </w:p>
    <w:p w:rsidR="00AF3A95" w:rsidRPr="00AF3A95" w:rsidRDefault="00AF3A95" w:rsidP="00AF3A95">
      <w:pPr>
        <w:numPr>
          <w:ilvl w:val="0"/>
          <w:numId w:val="1"/>
        </w:numPr>
        <w:spacing w:after="180" w:line="264" w:lineRule="auto"/>
        <w:contextualSpacing/>
        <w:rPr>
          <w:rFonts w:ascii="Tw Cen MT" w:eastAsia="Tw Cen MT" w:hAnsi="Tw Cen MT" w:cs="Times New Roman"/>
          <w:kern w:val="24"/>
          <w:sz w:val="23"/>
          <w:szCs w:val="20"/>
          <w:lang w:eastAsia="ja-JP"/>
          <w14:ligatures w14:val="standardContextual"/>
        </w:rPr>
      </w:pPr>
      <w:r w:rsidRPr="00AF3A95">
        <w:rPr>
          <w:rFonts w:ascii="Tw Cen MT" w:eastAsia="Tw Cen MT" w:hAnsi="Tw Cen MT" w:cs="Times New Roman"/>
          <w:kern w:val="24"/>
          <w:sz w:val="23"/>
          <w:szCs w:val="20"/>
          <w:lang w:eastAsia="ja-JP"/>
          <w14:ligatures w14:val="standardContextual"/>
        </w:rPr>
        <w:t xml:space="preserve">Targeted Monitoring: Environmental surveys within this monitoring effort are performed annually to develop the 303(d) impairment status reports. Using the water quality concerns that are highlighted during probabilistic surveys as a guide, site-specific monitoring plans during targeted monitoring efforts are used to assess the biological and chemical conditions of </w:t>
      </w:r>
      <w:r w:rsidRPr="00AF3A95">
        <w:rPr>
          <w:rFonts w:ascii="Tw Cen MT" w:eastAsia="Tw Cen MT" w:hAnsi="Tw Cen MT" w:cs="Times New Roman"/>
          <w:kern w:val="24"/>
          <w:sz w:val="23"/>
          <w:szCs w:val="20"/>
          <w:lang w:eastAsia="ja-JP"/>
          <w14:ligatures w14:val="standardContextual"/>
        </w:rPr>
        <w:lastRenderedPageBreak/>
        <w:t xml:space="preserve">a specific stream (see Figure 1-3). These more intensive surveys allow DWQ to more fully understand the scope and extent of water quality problems in the state. </w:t>
      </w:r>
    </w:p>
    <w:p w:rsidR="00AF3A95" w:rsidRPr="00AF3A95" w:rsidRDefault="00AF3A95" w:rsidP="00AF3A95">
      <w:pPr>
        <w:numPr>
          <w:ilvl w:val="0"/>
          <w:numId w:val="1"/>
        </w:numPr>
        <w:spacing w:after="180" w:line="264" w:lineRule="auto"/>
        <w:contextualSpacing/>
        <w:rPr>
          <w:rFonts w:ascii="Tw Cen MT" w:eastAsia="Tw Cen MT" w:hAnsi="Tw Cen MT" w:cs="Times New Roman"/>
          <w:kern w:val="24"/>
          <w:sz w:val="23"/>
          <w:szCs w:val="20"/>
          <w:lang w:eastAsia="ja-JP"/>
          <w14:ligatures w14:val="standardContextual"/>
        </w:rPr>
      </w:pPr>
      <w:r w:rsidRPr="00AF3A95">
        <w:rPr>
          <w:rFonts w:ascii="Tw Cen MT" w:eastAsia="Tw Cen MT" w:hAnsi="Tw Cen MT" w:cs="Times New Roman"/>
          <w:kern w:val="24"/>
          <w:sz w:val="23"/>
          <w:szCs w:val="20"/>
          <w:lang w:eastAsia="ja-JP"/>
          <w14:ligatures w14:val="standardContextual"/>
        </w:rPr>
        <w:t>Programmatic Monitoring: Surveys within this monitoring effort are performed annually, alongside targeted monitoring efforts. This is done to maximize division resources in the targeted watershed. During these programmatic monitoring efforts, the data needs of the division are met; these needs include TMDL development, evaluation of nonpoint source (NPS) project effectiveness, development or refinement of numeric water quality criteria, and a variety of compliance monitoring programs.</w:t>
      </w:r>
    </w:p>
    <w:p w:rsidR="00AF3A95" w:rsidRDefault="00AF3A95" w:rsidP="00AF3A95">
      <w:pPr>
        <w:spacing w:before="240" w:after="80"/>
        <w:outlineLvl w:val="1"/>
        <w:rPr>
          <w:rFonts w:ascii="Tw Cen MT" w:eastAsia="Tw Cen MT" w:hAnsi="Tw Cen MT" w:cs="Times New Roman"/>
          <w:b/>
          <w:color w:val="94B6D2"/>
          <w:spacing w:val="20"/>
          <w:kern w:val="24"/>
          <w:sz w:val="28"/>
          <w:szCs w:val="28"/>
          <w:lang w:eastAsia="ja-JP"/>
          <w14:ligatures w14:val="standardContextual"/>
        </w:rPr>
      </w:pPr>
      <w:bookmarkStart w:id="3" w:name="_Toc398724592"/>
      <w:bookmarkStart w:id="4" w:name="_Toc398891757"/>
    </w:p>
    <w:p w:rsidR="00AF3A95" w:rsidRPr="00AF3A95" w:rsidRDefault="00AF3A95" w:rsidP="00AF3A95">
      <w:pPr>
        <w:spacing w:before="240" w:after="80"/>
        <w:outlineLvl w:val="1"/>
        <w:rPr>
          <w:rFonts w:ascii="Tw Cen MT" w:eastAsia="Tw Cen MT" w:hAnsi="Tw Cen MT" w:cs="Times New Roman"/>
          <w:b/>
          <w:color w:val="94B6D2"/>
          <w:spacing w:val="20"/>
          <w:kern w:val="24"/>
          <w:sz w:val="28"/>
          <w:szCs w:val="28"/>
          <w:lang w:eastAsia="ja-JP"/>
          <w14:ligatures w14:val="standardContextual"/>
        </w:rPr>
      </w:pPr>
      <w:r w:rsidRPr="00AF3A95">
        <w:rPr>
          <w:rFonts w:ascii="Tw Cen MT" w:eastAsia="Tw Cen MT" w:hAnsi="Tw Cen MT" w:cs="Times New Roman"/>
          <w:b/>
          <w:color w:val="94B6D2"/>
          <w:spacing w:val="20"/>
          <w:kern w:val="24"/>
          <w:sz w:val="28"/>
          <w:szCs w:val="28"/>
          <w:lang w:eastAsia="ja-JP"/>
          <w14:ligatures w14:val="standardContextual"/>
        </w:rPr>
        <w:t>Rotating Basin Schedule</w:t>
      </w:r>
      <w:bookmarkEnd w:id="3"/>
      <w:bookmarkEnd w:id="4"/>
    </w:p>
    <w:p w:rsidR="00AF3A95" w:rsidRPr="00AF3A95" w:rsidRDefault="00AF3A95" w:rsidP="00AF3A95">
      <w:pPr>
        <w:spacing w:after="180"/>
        <w:rPr>
          <w:rFonts w:ascii="Tw Cen MT" w:eastAsia="Tw Cen MT" w:hAnsi="Tw Cen MT" w:cs="Times New Roman"/>
          <w:kern w:val="24"/>
          <w:sz w:val="23"/>
          <w:szCs w:val="20"/>
          <w:lang w:eastAsia="ja-JP"/>
          <w14:ligatures w14:val="standardContextual"/>
        </w:rPr>
      </w:pPr>
      <w:r w:rsidRPr="00AF3A95">
        <w:rPr>
          <w:rFonts w:ascii="Tw Cen MT" w:eastAsia="Tw Cen MT" w:hAnsi="Tw Cen MT" w:cs="Times New Roman"/>
          <w:kern w:val="24"/>
          <w:sz w:val="23"/>
          <w:szCs w:val="20"/>
          <w:lang w:eastAsia="ja-JP"/>
          <w14:ligatures w14:val="standardContextual"/>
        </w:rPr>
        <w:t xml:space="preserve">To implement the monitoring and assessment efforts described above, DWQ developed a 6-year rotating basin monitoring schedule to ensure that 1) staff has sufficient data to determine if a </w:t>
      </w:r>
      <w:proofErr w:type="spellStart"/>
      <w:r w:rsidRPr="00AF3A95">
        <w:rPr>
          <w:rFonts w:ascii="Tw Cen MT" w:eastAsia="Tw Cen MT" w:hAnsi="Tw Cen MT" w:cs="Times New Roman"/>
          <w:kern w:val="24"/>
          <w:sz w:val="23"/>
          <w:szCs w:val="20"/>
          <w:lang w:eastAsia="ja-JP"/>
          <w14:ligatures w14:val="standardContextual"/>
        </w:rPr>
        <w:t>waterbody</w:t>
      </w:r>
      <w:proofErr w:type="spellEnd"/>
      <w:r w:rsidRPr="00AF3A95">
        <w:rPr>
          <w:rFonts w:ascii="Tw Cen MT" w:eastAsia="Tw Cen MT" w:hAnsi="Tw Cen MT" w:cs="Times New Roman"/>
          <w:kern w:val="24"/>
          <w:sz w:val="23"/>
          <w:szCs w:val="20"/>
          <w:lang w:eastAsia="ja-JP"/>
          <w14:ligatures w14:val="standardContextual"/>
        </w:rPr>
        <w:t xml:space="preserve"> is impaired and 2) DWQ can work toward its goal of assessing all 12,000 miles of </w:t>
      </w:r>
      <w:proofErr w:type="spellStart"/>
      <w:r w:rsidRPr="00AF3A95">
        <w:rPr>
          <w:rFonts w:ascii="Tw Cen MT" w:eastAsia="Tw Cen MT" w:hAnsi="Tw Cen MT" w:cs="Times New Roman"/>
          <w:kern w:val="24"/>
          <w:sz w:val="23"/>
          <w:szCs w:val="20"/>
          <w:lang w:eastAsia="ja-JP"/>
          <w14:ligatures w14:val="standardContextual"/>
        </w:rPr>
        <w:t>wadeable</w:t>
      </w:r>
      <w:proofErr w:type="spellEnd"/>
      <w:r w:rsidRPr="00AF3A95">
        <w:rPr>
          <w:rFonts w:ascii="Tw Cen MT" w:eastAsia="Tw Cen MT" w:hAnsi="Tw Cen MT" w:cs="Times New Roman"/>
          <w:kern w:val="24"/>
          <w:sz w:val="23"/>
          <w:szCs w:val="20"/>
          <w:lang w:eastAsia="ja-JP"/>
          <w14:ligatures w14:val="standardContextual"/>
        </w:rPr>
        <w:t xml:space="preserve"> rivers and streams and 137 lakes and reservoirs in the state. </w:t>
      </w:r>
    </w:p>
    <w:p w:rsidR="00AF3A95" w:rsidRPr="00AF3A95" w:rsidRDefault="00AF3A95" w:rsidP="00AF3A95">
      <w:pPr>
        <w:spacing w:after="180"/>
        <w:rPr>
          <w:rFonts w:ascii="Tw Cen MT" w:eastAsia="Tw Cen MT" w:hAnsi="Tw Cen MT" w:cs="Times New Roman"/>
          <w:kern w:val="24"/>
          <w:sz w:val="23"/>
          <w:szCs w:val="20"/>
          <w:lang w:eastAsia="ja-JP"/>
          <w14:ligatures w14:val="standardContextual"/>
        </w:rPr>
      </w:pPr>
      <w:r w:rsidRPr="00AF3A95">
        <w:rPr>
          <w:rFonts w:ascii="Tw Cen MT" w:eastAsia="Tw Cen MT" w:hAnsi="Tw Cen MT" w:cs="Times New Roman"/>
          <w:kern w:val="24"/>
          <w:sz w:val="23"/>
          <w:szCs w:val="20"/>
          <w:lang w:eastAsia="ja-JP"/>
          <w14:ligatures w14:val="standardContextual"/>
        </w:rPr>
        <w:t xml:space="preserve">By focusing the division’s monitoring efforts on a couple of river basins each year (versus the whole state), DWQ is able to concentrate its monitoring efforts on a smaller geographical area and collect more water quality samples from numerous </w:t>
      </w:r>
      <w:proofErr w:type="spellStart"/>
      <w:r w:rsidRPr="00AF3A95">
        <w:rPr>
          <w:rFonts w:ascii="Tw Cen MT" w:eastAsia="Tw Cen MT" w:hAnsi="Tw Cen MT" w:cs="Times New Roman"/>
          <w:kern w:val="24"/>
          <w:sz w:val="23"/>
          <w:szCs w:val="20"/>
          <w:lang w:eastAsia="ja-JP"/>
          <w14:ligatures w14:val="standardContextual"/>
        </w:rPr>
        <w:t>waterbodies</w:t>
      </w:r>
      <w:proofErr w:type="spellEnd"/>
      <w:r w:rsidRPr="00AF3A95">
        <w:rPr>
          <w:rFonts w:ascii="Tw Cen MT" w:eastAsia="Tw Cen MT" w:hAnsi="Tw Cen MT" w:cs="Times New Roman"/>
          <w:kern w:val="24"/>
          <w:sz w:val="23"/>
          <w:szCs w:val="20"/>
          <w:lang w:eastAsia="ja-JP"/>
          <w14:ligatures w14:val="standardContextual"/>
        </w:rPr>
        <w:t xml:space="preserve"> within a watershed management unit during a single sampling season. Using this rotating sampling structure allows DWQ staff to make more accurate assessments and informed 303(d) listing decisions by having a more robust dataset to work with.</w:t>
      </w:r>
    </w:p>
    <w:p w:rsidR="00AF3A95" w:rsidRPr="00AF3A95" w:rsidRDefault="00AF3A95" w:rsidP="00AF3A95">
      <w:pPr>
        <w:spacing w:after="180"/>
        <w:rPr>
          <w:rFonts w:ascii="Franklin Gothic Book" w:eastAsia="Tw Cen MT" w:hAnsi="Franklin Gothic Book" w:cs="Times New Roman"/>
          <w:b/>
          <w:kern w:val="24"/>
          <w:sz w:val="23"/>
          <w:szCs w:val="20"/>
          <w:lang w:eastAsia="ja-JP"/>
          <w14:ligatures w14:val="standardContextual"/>
        </w:rPr>
      </w:pPr>
    </w:p>
    <w:p w:rsidR="00AF3A95" w:rsidRPr="00AF3A95" w:rsidRDefault="00AF3A95" w:rsidP="00AF3A95">
      <w:pPr>
        <w:spacing w:after="180"/>
        <w:rPr>
          <w:rFonts w:ascii="Tw Cen MT" w:eastAsia="Tw Cen MT" w:hAnsi="Tw Cen MT" w:cs="Times New Roman"/>
          <w:b/>
          <w:color w:val="DD8047"/>
          <w:spacing w:val="10"/>
          <w:sz w:val="23"/>
          <w:szCs w:val="20"/>
          <w:lang w:eastAsia="ja-JP"/>
          <w14:ligatures w14:val="standardContextual"/>
        </w:rPr>
      </w:pPr>
      <w:r w:rsidRPr="00AF3A95">
        <w:rPr>
          <w:rFonts w:ascii="Tw Cen MT" w:eastAsia="Tw Cen MT" w:hAnsi="Tw Cen MT" w:cs="Times New Roman"/>
          <w:b/>
          <w:color w:val="DD8047"/>
          <w:spacing w:val="10"/>
          <w:sz w:val="23"/>
          <w:szCs w:val="20"/>
          <w:lang w:eastAsia="ja-JP"/>
          <w14:ligatures w14:val="standardContextual"/>
        </w:rPr>
        <w:t xml:space="preserve">Table 1-2. </w:t>
      </w:r>
      <w:proofErr w:type="gramStart"/>
      <w:r w:rsidRPr="00AF3A95">
        <w:rPr>
          <w:rFonts w:ascii="Tw Cen MT" w:eastAsia="Tw Cen MT" w:hAnsi="Tw Cen MT" w:cs="Times New Roman"/>
          <w:b/>
          <w:color w:val="DD8047"/>
          <w:spacing w:val="10"/>
          <w:sz w:val="23"/>
          <w:szCs w:val="20"/>
          <w:lang w:eastAsia="ja-JP"/>
          <w14:ligatures w14:val="standardContextual"/>
        </w:rPr>
        <w:t>Summary of DWQ's 6-year rotating basin monitoring schedule.</w:t>
      </w:r>
      <w:proofErr w:type="gramEnd"/>
      <w:r w:rsidRPr="00AF3A95">
        <w:rPr>
          <w:rFonts w:ascii="Tw Cen MT" w:eastAsia="Tw Cen MT" w:hAnsi="Tw Cen MT" w:cs="Times New Roman"/>
          <w:b/>
          <w:color w:val="DD8047"/>
          <w:spacing w:val="10"/>
          <w:sz w:val="23"/>
          <w:szCs w:val="20"/>
          <w:lang w:eastAsia="ja-JP"/>
          <w14:ligatures w14:val="standardContextual"/>
        </w:rPr>
        <w:t xml:space="preserve"> </w:t>
      </w:r>
    </w:p>
    <w:tbl>
      <w:tblPr>
        <w:tblStyle w:val="TableGrid1"/>
        <w:tblW w:w="10088" w:type="dxa"/>
        <w:tblLook w:val="04A0" w:firstRow="1" w:lastRow="0" w:firstColumn="1" w:lastColumn="0" w:noHBand="0" w:noVBand="1"/>
      </w:tblPr>
      <w:tblGrid>
        <w:gridCol w:w="3226"/>
        <w:gridCol w:w="427"/>
        <w:gridCol w:w="429"/>
        <w:gridCol w:w="429"/>
        <w:gridCol w:w="429"/>
        <w:gridCol w:w="429"/>
        <w:gridCol w:w="429"/>
        <w:gridCol w:w="429"/>
        <w:gridCol w:w="429"/>
        <w:gridCol w:w="429"/>
        <w:gridCol w:w="429"/>
        <w:gridCol w:w="429"/>
        <w:gridCol w:w="429"/>
        <w:gridCol w:w="429"/>
        <w:gridCol w:w="429"/>
        <w:gridCol w:w="429"/>
        <w:gridCol w:w="429"/>
      </w:tblGrid>
      <w:tr w:rsidR="00AF3A95" w:rsidRPr="00AF3A95" w:rsidTr="00214FFE">
        <w:trPr>
          <w:trHeight w:val="421"/>
        </w:trPr>
        <w:tc>
          <w:tcPr>
            <w:tcW w:w="3226" w:type="dxa"/>
            <w:vMerge w:val="restart"/>
            <w:tcBorders>
              <w:top w:val="single" w:sz="4" w:space="0" w:color="auto"/>
              <w:left w:val="nil"/>
              <w:bottom w:val="single" w:sz="4" w:space="0" w:color="auto"/>
              <w:right w:val="nil"/>
            </w:tcBorders>
          </w:tcPr>
          <w:p w:rsidR="00AF3A95" w:rsidRPr="00AF3A95" w:rsidRDefault="00AF3A95" w:rsidP="00AF3A95">
            <w:pPr>
              <w:rPr>
                <w:rFonts w:ascii="Tw Cen MT" w:eastAsia="Calibri" w:hAnsi="Tw Cen MT"/>
              </w:rPr>
            </w:pPr>
            <w:r w:rsidRPr="00AF3A95">
              <w:rPr>
                <w:rFonts w:ascii="Tw Cen MT" w:eastAsia="Calibri" w:hAnsi="Tw Cen MT"/>
              </w:rPr>
              <w:t xml:space="preserve">Watershed </w:t>
            </w:r>
          </w:p>
          <w:p w:rsidR="00AF3A95" w:rsidRPr="00AF3A95" w:rsidRDefault="00AF3A95" w:rsidP="00AF3A95">
            <w:pPr>
              <w:rPr>
                <w:rFonts w:ascii="Tw Cen MT" w:eastAsia="Calibri" w:hAnsi="Tw Cen MT"/>
              </w:rPr>
            </w:pPr>
            <w:r w:rsidRPr="00AF3A95">
              <w:rPr>
                <w:rFonts w:ascii="Tw Cen MT" w:eastAsia="Calibri" w:hAnsi="Tw Cen MT"/>
              </w:rPr>
              <w:t xml:space="preserve">Management </w:t>
            </w:r>
          </w:p>
          <w:p w:rsidR="00AF3A95" w:rsidRPr="00AF3A95" w:rsidRDefault="00AF3A95" w:rsidP="00AF3A95">
            <w:pPr>
              <w:rPr>
                <w:rFonts w:ascii="Tw Cen MT" w:eastAsia="Calibri" w:hAnsi="Tw Cen MT"/>
              </w:rPr>
            </w:pPr>
            <w:r w:rsidRPr="00AF3A95">
              <w:rPr>
                <w:rFonts w:ascii="Tw Cen MT" w:eastAsia="Calibri" w:hAnsi="Tw Cen MT"/>
              </w:rPr>
              <w:t>Unit</w:t>
            </w:r>
          </w:p>
        </w:tc>
        <w:tc>
          <w:tcPr>
            <w:tcW w:w="6856" w:type="dxa"/>
            <w:gridSpan w:val="16"/>
            <w:tcBorders>
              <w:top w:val="single" w:sz="4" w:space="0" w:color="auto"/>
              <w:left w:val="nil"/>
              <w:bottom w:val="nil"/>
              <w:right w:val="nil"/>
            </w:tcBorders>
          </w:tcPr>
          <w:p w:rsidR="00AF3A95" w:rsidRPr="00AF3A95" w:rsidRDefault="00AF3A95" w:rsidP="00AF3A95">
            <w:pPr>
              <w:jc w:val="center"/>
              <w:rPr>
                <w:rFonts w:ascii="Tw Cen MT" w:eastAsia="Calibri" w:hAnsi="Tw Cen MT"/>
              </w:rPr>
            </w:pPr>
            <w:r w:rsidRPr="00AF3A95">
              <w:rPr>
                <w:rFonts w:ascii="Tw Cen MT" w:eastAsia="Calibri" w:hAnsi="Tw Cen MT"/>
              </w:rPr>
              <w:t>YEAR</w:t>
            </w:r>
          </w:p>
        </w:tc>
      </w:tr>
      <w:tr w:rsidR="00AF3A95" w:rsidRPr="00AF3A95" w:rsidTr="00214FFE">
        <w:trPr>
          <w:trHeight w:val="421"/>
        </w:trPr>
        <w:tc>
          <w:tcPr>
            <w:tcW w:w="3226" w:type="dxa"/>
            <w:vMerge/>
            <w:tcBorders>
              <w:top w:val="nil"/>
              <w:left w:val="nil"/>
              <w:bottom w:val="single" w:sz="4" w:space="0" w:color="auto"/>
              <w:right w:val="nil"/>
            </w:tcBorders>
          </w:tcPr>
          <w:p w:rsidR="00AF3A95" w:rsidRPr="00AF3A95" w:rsidRDefault="00AF3A95" w:rsidP="00AF3A95">
            <w:pPr>
              <w:rPr>
                <w:rFonts w:ascii="Tw Cen MT" w:eastAsia="Calibri" w:hAnsi="Tw Cen MT"/>
                <w:b/>
              </w:rPr>
            </w:pPr>
          </w:p>
        </w:tc>
        <w:tc>
          <w:tcPr>
            <w:tcW w:w="856" w:type="dxa"/>
            <w:gridSpan w:val="2"/>
            <w:tcBorders>
              <w:top w:val="nil"/>
              <w:left w:val="nil"/>
              <w:bottom w:val="single" w:sz="4" w:space="0" w:color="auto"/>
              <w:right w:val="nil"/>
            </w:tcBorders>
          </w:tcPr>
          <w:p w:rsidR="00AF3A95" w:rsidRPr="00AF3A95" w:rsidRDefault="00AF3A95" w:rsidP="00AF3A95">
            <w:pPr>
              <w:rPr>
                <w:rFonts w:ascii="Tw Cen MT" w:eastAsia="Calibri" w:hAnsi="Tw Cen MT"/>
              </w:rPr>
            </w:pPr>
            <w:r w:rsidRPr="00AF3A95">
              <w:rPr>
                <w:rFonts w:ascii="Tw Cen MT" w:eastAsia="Calibri" w:hAnsi="Tw Cen MT"/>
              </w:rPr>
              <w:t>2009</w:t>
            </w:r>
          </w:p>
        </w:tc>
        <w:tc>
          <w:tcPr>
            <w:tcW w:w="857" w:type="dxa"/>
            <w:gridSpan w:val="2"/>
            <w:tcBorders>
              <w:top w:val="nil"/>
              <w:left w:val="nil"/>
              <w:bottom w:val="single" w:sz="4" w:space="0" w:color="auto"/>
              <w:right w:val="nil"/>
            </w:tcBorders>
          </w:tcPr>
          <w:p w:rsidR="00AF3A95" w:rsidRPr="00AF3A95" w:rsidRDefault="00AF3A95" w:rsidP="00AF3A95">
            <w:pPr>
              <w:rPr>
                <w:rFonts w:ascii="Tw Cen MT" w:eastAsia="Calibri" w:hAnsi="Tw Cen MT"/>
              </w:rPr>
            </w:pPr>
            <w:r w:rsidRPr="00AF3A95">
              <w:rPr>
                <w:rFonts w:ascii="Tw Cen MT" w:eastAsia="Calibri" w:hAnsi="Tw Cen MT"/>
              </w:rPr>
              <w:t>2010</w:t>
            </w:r>
          </w:p>
        </w:tc>
        <w:tc>
          <w:tcPr>
            <w:tcW w:w="857" w:type="dxa"/>
            <w:gridSpan w:val="2"/>
            <w:tcBorders>
              <w:top w:val="nil"/>
              <w:left w:val="nil"/>
              <w:bottom w:val="single" w:sz="4" w:space="0" w:color="auto"/>
              <w:right w:val="nil"/>
            </w:tcBorders>
          </w:tcPr>
          <w:p w:rsidR="00AF3A95" w:rsidRPr="00AF3A95" w:rsidRDefault="00AF3A95" w:rsidP="00AF3A95">
            <w:pPr>
              <w:rPr>
                <w:rFonts w:ascii="Tw Cen MT" w:eastAsia="Calibri" w:hAnsi="Tw Cen MT"/>
              </w:rPr>
            </w:pPr>
            <w:r w:rsidRPr="00AF3A95">
              <w:rPr>
                <w:rFonts w:ascii="Tw Cen MT" w:eastAsia="Calibri" w:hAnsi="Tw Cen MT"/>
              </w:rPr>
              <w:t>2011</w:t>
            </w:r>
          </w:p>
        </w:tc>
        <w:tc>
          <w:tcPr>
            <w:tcW w:w="857" w:type="dxa"/>
            <w:gridSpan w:val="2"/>
            <w:tcBorders>
              <w:top w:val="nil"/>
              <w:left w:val="nil"/>
              <w:bottom w:val="single" w:sz="4" w:space="0" w:color="auto"/>
              <w:right w:val="nil"/>
            </w:tcBorders>
          </w:tcPr>
          <w:p w:rsidR="00AF3A95" w:rsidRPr="00AF3A95" w:rsidRDefault="00AF3A95" w:rsidP="00AF3A95">
            <w:pPr>
              <w:rPr>
                <w:rFonts w:ascii="Tw Cen MT" w:eastAsia="Calibri" w:hAnsi="Tw Cen MT"/>
              </w:rPr>
            </w:pPr>
            <w:r w:rsidRPr="00AF3A95">
              <w:rPr>
                <w:rFonts w:ascii="Tw Cen MT" w:eastAsia="Calibri" w:hAnsi="Tw Cen MT"/>
              </w:rPr>
              <w:t>2012</w:t>
            </w:r>
          </w:p>
        </w:tc>
        <w:tc>
          <w:tcPr>
            <w:tcW w:w="857" w:type="dxa"/>
            <w:gridSpan w:val="2"/>
            <w:tcBorders>
              <w:top w:val="nil"/>
              <w:left w:val="nil"/>
              <w:bottom w:val="single" w:sz="4" w:space="0" w:color="auto"/>
              <w:right w:val="nil"/>
            </w:tcBorders>
          </w:tcPr>
          <w:p w:rsidR="00AF3A95" w:rsidRPr="00AF3A95" w:rsidRDefault="00AF3A95" w:rsidP="00AF3A95">
            <w:pPr>
              <w:rPr>
                <w:rFonts w:ascii="Tw Cen MT" w:eastAsia="Calibri" w:hAnsi="Tw Cen MT"/>
              </w:rPr>
            </w:pPr>
            <w:r w:rsidRPr="00AF3A95">
              <w:rPr>
                <w:rFonts w:ascii="Tw Cen MT" w:eastAsia="Calibri" w:hAnsi="Tw Cen MT"/>
              </w:rPr>
              <w:t>2013</w:t>
            </w:r>
          </w:p>
        </w:tc>
        <w:tc>
          <w:tcPr>
            <w:tcW w:w="857" w:type="dxa"/>
            <w:gridSpan w:val="2"/>
            <w:tcBorders>
              <w:top w:val="nil"/>
              <w:left w:val="nil"/>
              <w:bottom w:val="single" w:sz="4" w:space="0" w:color="auto"/>
              <w:right w:val="nil"/>
            </w:tcBorders>
          </w:tcPr>
          <w:p w:rsidR="00AF3A95" w:rsidRPr="00AF3A95" w:rsidRDefault="00AF3A95" w:rsidP="00AF3A95">
            <w:pPr>
              <w:rPr>
                <w:rFonts w:ascii="Tw Cen MT" w:eastAsia="Calibri" w:hAnsi="Tw Cen MT"/>
              </w:rPr>
            </w:pPr>
            <w:r w:rsidRPr="00AF3A95">
              <w:rPr>
                <w:rFonts w:ascii="Tw Cen MT" w:eastAsia="Calibri" w:hAnsi="Tw Cen MT"/>
              </w:rPr>
              <w:t>2014</w:t>
            </w:r>
          </w:p>
        </w:tc>
        <w:tc>
          <w:tcPr>
            <w:tcW w:w="857" w:type="dxa"/>
            <w:gridSpan w:val="2"/>
            <w:tcBorders>
              <w:top w:val="nil"/>
              <w:left w:val="nil"/>
              <w:bottom w:val="single" w:sz="4" w:space="0" w:color="auto"/>
              <w:right w:val="nil"/>
            </w:tcBorders>
          </w:tcPr>
          <w:p w:rsidR="00AF3A95" w:rsidRPr="00AF3A95" w:rsidRDefault="00AF3A95" w:rsidP="00AF3A95">
            <w:pPr>
              <w:rPr>
                <w:rFonts w:ascii="Tw Cen MT" w:eastAsia="Calibri" w:hAnsi="Tw Cen MT"/>
              </w:rPr>
            </w:pPr>
            <w:r w:rsidRPr="00AF3A95">
              <w:rPr>
                <w:rFonts w:ascii="Tw Cen MT" w:eastAsia="Calibri" w:hAnsi="Tw Cen MT"/>
              </w:rPr>
              <w:t>2015</w:t>
            </w:r>
          </w:p>
        </w:tc>
        <w:tc>
          <w:tcPr>
            <w:tcW w:w="857" w:type="dxa"/>
            <w:gridSpan w:val="2"/>
            <w:tcBorders>
              <w:top w:val="nil"/>
              <w:left w:val="nil"/>
              <w:bottom w:val="single" w:sz="4" w:space="0" w:color="auto"/>
              <w:right w:val="nil"/>
            </w:tcBorders>
          </w:tcPr>
          <w:p w:rsidR="00AF3A95" w:rsidRPr="00AF3A95" w:rsidRDefault="00AF3A95" w:rsidP="00AF3A95">
            <w:pPr>
              <w:rPr>
                <w:rFonts w:ascii="Tw Cen MT" w:eastAsia="Calibri" w:hAnsi="Tw Cen MT"/>
              </w:rPr>
            </w:pPr>
            <w:r w:rsidRPr="00AF3A95">
              <w:rPr>
                <w:rFonts w:ascii="Tw Cen MT" w:eastAsia="Calibri" w:hAnsi="Tw Cen MT"/>
              </w:rPr>
              <w:t>2016</w:t>
            </w:r>
          </w:p>
        </w:tc>
      </w:tr>
      <w:tr w:rsidR="00AF3A95" w:rsidRPr="00AF3A95" w:rsidTr="00214FFE">
        <w:trPr>
          <w:trHeight w:val="151"/>
        </w:trPr>
        <w:tc>
          <w:tcPr>
            <w:tcW w:w="3226" w:type="dxa"/>
            <w:tcBorders>
              <w:top w:val="single" w:sz="4" w:space="0" w:color="auto"/>
              <w:left w:val="nil"/>
              <w:bottom w:val="nil"/>
              <w:right w:val="nil"/>
            </w:tcBorders>
          </w:tcPr>
          <w:p w:rsidR="00AF3A95" w:rsidRPr="00AF3A95" w:rsidRDefault="00AF3A95" w:rsidP="00AF3A95">
            <w:pPr>
              <w:rPr>
                <w:rFonts w:ascii="Tw Cen MT" w:eastAsia="Calibri" w:hAnsi="Tw Cen MT"/>
              </w:rPr>
            </w:pPr>
            <w:r w:rsidRPr="00AF3A95">
              <w:rPr>
                <w:rFonts w:ascii="Tw Cen MT" w:eastAsia="Calibri" w:hAnsi="Tw Cen MT"/>
              </w:rPr>
              <w:t>Jordan-Utah Lake</w:t>
            </w:r>
          </w:p>
        </w:tc>
        <w:tc>
          <w:tcPr>
            <w:tcW w:w="427" w:type="dxa"/>
            <w:tcBorders>
              <w:top w:val="single" w:sz="4" w:space="0" w:color="auto"/>
              <w:left w:val="nil"/>
              <w:bottom w:val="nil"/>
              <w:right w:val="nil"/>
            </w:tcBorders>
            <w:shd w:val="clear" w:color="auto" w:fill="1F497D" w:themeFill="text2"/>
          </w:tcPr>
          <w:p w:rsidR="00AF3A95" w:rsidRPr="00AF3A95" w:rsidRDefault="00AF3A95" w:rsidP="00AF3A95">
            <w:pPr>
              <w:rPr>
                <w:rFonts w:ascii="Tw Cen MT" w:eastAsia="Calibri" w:hAnsi="Tw Cen MT"/>
              </w:rPr>
            </w:pPr>
          </w:p>
        </w:tc>
        <w:tc>
          <w:tcPr>
            <w:tcW w:w="857" w:type="dxa"/>
            <w:gridSpan w:val="2"/>
            <w:tcBorders>
              <w:top w:val="single" w:sz="4" w:space="0" w:color="auto"/>
              <w:left w:val="nil"/>
              <w:bottom w:val="nil"/>
              <w:right w:val="nil"/>
            </w:tcBorders>
            <w:shd w:val="clear" w:color="auto" w:fill="8DB3E2" w:themeFill="text2" w:themeFillTint="66"/>
          </w:tcPr>
          <w:p w:rsidR="00AF3A95" w:rsidRPr="00AF3A95" w:rsidRDefault="00AF3A95" w:rsidP="00AF3A95">
            <w:pPr>
              <w:rPr>
                <w:rFonts w:ascii="Tw Cen MT" w:eastAsia="Calibri" w:hAnsi="Tw Cen MT"/>
              </w:rPr>
            </w:pPr>
          </w:p>
        </w:tc>
        <w:tc>
          <w:tcPr>
            <w:tcW w:w="429" w:type="dxa"/>
            <w:tcBorders>
              <w:top w:val="single" w:sz="4" w:space="0" w:color="auto"/>
              <w:left w:val="nil"/>
              <w:bottom w:val="nil"/>
              <w:right w:val="nil"/>
            </w:tcBorders>
          </w:tcPr>
          <w:p w:rsidR="00AF3A95" w:rsidRPr="00AF3A95" w:rsidRDefault="00AF3A95" w:rsidP="00AF3A95">
            <w:pPr>
              <w:rPr>
                <w:rFonts w:ascii="Tw Cen MT" w:eastAsia="Calibri" w:hAnsi="Tw Cen MT"/>
              </w:rPr>
            </w:pPr>
          </w:p>
        </w:tc>
        <w:tc>
          <w:tcPr>
            <w:tcW w:w="429" w:type="dxa"/>
            <w:tcBorders>
              <w:top w:val="single" w:sz="4" w:space="0" w:color="auto"/>
              <w:left w:val="nil"/>
              <w:bottom w:val="nil"/>
              <w:right w:val="nil"/>
            </w:tcBorders>
          </w:tcPr>
          <w:p w:rsidR="00AF3A95" w:rsidRPr="00AF3A95" w:rsidRDefault="00AF3A95" w:rsidP="00AF3A95">
            <w:pPr>
              <w:rPr>
                <w:rFonts w:ascii="Tw Cen MT" w:eastAsia="Calibri" w:hAnsi="Tw Cen MT"/>
              </w:rPr>
            </w:pPr>
          </w:p>
        </w:tc>
        <w:tc>
          <w:tcPr>
            <w:tcW w:w="857" w:type="dxa"/>
            <w:gridSpan w:val="2"/>
            <w:tcBorders>
              <w:top w:val="single" w:sz="4" w:space="0" w:color="auto"/>
              <w:left w:val="nil"/>
              <w:bottom w:val="nil"/>
              <w:right w:val="nil"/>
            </w:tcBorders>
            <w:shd w:val="clear" w:color="auto" w:fill="8DB3E2" w:themeFill="text2" w:themeFillTint="66"/>
          </w:tcPr>
          <w:p w:rsidR="00AF3A95" w:rsidRPr="00AF3A95" w:rsidRDefault="00AF3A95" w:rsidP="00AF3A95">
            <w:pPr>
              <w:rPr>
                <w:rFonts w:ascii="Tw Cen MT" w:eastAsia="Calibri" w:hAnsi="Tw Cen MT"/>
              </w:rPr>
            </w:pPr>
          </w:p>
        </w:tc>
        <w:tc>
          <w:tcPr>
            <w:tcW w:w="429" w:type="dxa"/>
            <w:tcBorders>
              <w:top w:val="single" w:sz="4" w:space="0" w:color="auto"/>
              <w:left w:val="nil"/>
              <w:bottom w:val="nil"/>
              <w:right w:val="nil"/>
            </w:tcBorders>
          </w:tcPr>
          <w:p w:rsidR="00AF3A95" w:rsidRPr="00AF3A95" w:rsidRDefault="00AF3A95" w:rsidP="00AF3A95">
            <w:pPr>
              <w:rPr>
                <w:rFonts w:ascii="Tw Cen MT" w:eastAsia="Calibri" w:hAnsi="Tw Cen MT"/>
              </w:rPr>
            </w:pPr>
          </w:p>
        </w:tc>
        <w:tc>
          <w:tcPr>
            <w:tcW w:w="429" w:type="dxa"/>
            <w:tcBorders>
              <w:top w:val="single" w:sz="4" w:space="0" w:color="auto"/>
              <w:left w:val="nil"/>
              <w:bottom w:val="nil"/>
              <w:right w:val="nil"/>
            </w:tcBorders>
          </w:tcPr>
          <w:p w:rsidR="00AF3A95" w:rsidRPr="00AF3A95" w:rsidRDefault="00AF3A95" w:rsidP="00AF3A95">
            <w:pPr>
              <w:rPr>
                <w:rFonts w:ascii="Tw Cen MT" w:eastAsia="Calibri" w:hAnsi="Tw Cen MT"/>
              </w:rPr>
            </w:pPr>
          </w:p>
        </w:tc>
        <w:tc>
          <w:tcPr>
            <w:tcW w:w="429" w:type="dxa"/>
            <w:tcBorders>
              <w:top w:val="single" w:sz="4" w:space="0" w:color="auto"/>
              <w:left w:val="nil"/>
              <w:bottom w:val="nil"/>
              <w:right w:val="nil"/>
            </w:tcBorders>
          </w:tcPr>
          <w:p w:rsidR="00AF3A95" w:rsidRPr="00AF3A95" w:rsidRDefault="00AF3A95" w:rsidP="00AF3A95">
            <w:pPr>
              <w:rPr>
                <w:rFonts w:ascii="Tw Cen MT" w:eastAsia="Calibri" w:hAnsi="Tw Cen MT"/>
              </w:rPr>
            </w:pPr>
          </w:p>
        </w:tc>
        <w:tc>
          <w:tcPr>
            <w:tcW w:w="429" w:type="dxa"/>
            <w:tcBorders>
              <w:top w:val="single" w:sz="4" w:space="0" w:color="auto"/>
              <w:left w:val="nil"/>
              <w:bottom w:val="nil"/>
              <w:right w:val="nil"/>
            </w:tcBorders>
          </w:tcPr>
          <w:p w:rsidR="00AF3A95" w:rsidRPr="00AF3A95" w:rsidRDefault="00AF3A95" w:rsidP="00AF3A95">
            <w:pPr>
              <w:rPr>
                <w:rFonts w:ascii="Tw Cen MT" w:eastAsia="Calibri" w:hAnsi="Tw Cen MT"/>
              </w:rPr>
            </w:pPr>
          </w:p>
        </w:tc>
        <w:tc>
          <w:tcPr>
            <w:tcW w:w="429" w:type="dxa"/>
            <w:tcBorders>
              <w:top w:val="single" w:sz="4" w:space="0" w:color="auto"/>
              <w:left w:val="nil"/>
              <w:bottom w:val="nil"/>
              <w:right w:val="nil"/>
            </w:tcBorders>
          </w:tcPr>
          <w:p w:rsidR="00AF3A95" w:rsidRPr="00AF3A95" w:rsidRDefault="00AF3A95" w:rsidP="00AF3A95">
            <w:pPr>
              <w:rPr>
                <w:rFonts w:ascii="Tw Cen MT" w:eastAsia="Calibri" w:hAnsi="Tw Cen MT"/>
              </w:rPr>
            </w:pPr>
          </w:p>
        </w:tc>
        <w:tc>
          <w:tcPr>
            <w:tcW w:w="429" w:type="dxa"/>
            <w:tcBorders>
              <w:top w:val="single" w:sz="4" w:space="0" w:color="auto"/>
              <w:left w:val="nil"/>
              <w:bottom w:val="nil"/>
              <w:right w:val="nil"/>
            </w:tcBorders>
            <w:shd w:val="clear" w:color="auto" w:fill="1F497D" w:themeFill="text2"/>
          </w:tcPr>
          <w:p w:rsidR="00AF3A95" w:rsidRPr="00AF3A95" w:rsidRDefault="00AF3A95" w:rsidP="00AF3A95">
            <w:pPr>
              <w:rPr>
                <w:rFonts w:ascii="Tw Cen MT" w:eastAsia="Calibri" w:hAnsi="Tw Cen MT"/>
              </w:rPr>
            </w:pPr>
          </w:p>
        </w:tc>
        <w:tc>
          <w:tcPr>
            <w:tcW w:w="429" w:type="dxa"/>
            <w:tcBorders>
              <w:top w:val="single" w:sz="4" w:space="0" w:color="auto"/>
              <w:left w:val="nil"/>
              <w:bottom w:val="nil"/>
              <w:right w:val="nil"/>
            </w:tcBorders>
          </w:tcPr>
          <w:p w:rsidR="00AF3A95" w:rsidRPr="00AF3A95" w:rsidRDefault="00AF3A95" w:rsidP="00AF3A95">
            <w:pPr>
              <w:rPr>
                <w:rFonts w:ascii="Tw Cen MT" w:eastAsia="Calibri" w:hAnsi="Tw Cen MT"/>
              </w:rPr>
            </w:pPr>
          </w:p>
        </w:tc>
        <w:tc>
          <w:tcPr>
            <w:tcW w:w="429" w:type="dxa"/>
            <w:tcBorders>
              <w:top w:val="single" w:sz="4" w:space="0" w:color="auto"/>
              <w:left w:val="nil"/>
              <w:bottom w:val="nil"/>
              <w:right w:val="nil"/>
            </w:tcBorders>
          </w:tcPr>
          <w:p w:rsidR="00AF3A95" w:rsidRPr="00AF3A95" w:rsidRDefault="00AF3A95" w:rsidP="00AF3A95">
            <w:pPr>
              <w:rPr>
                <w:rFonts w:ascii="Tw Cen MT" w:eastAsia="Calibri" w:hAnsi="Tw Cen MT"/>
              </w:rPr>
            </w:pPr>
          </w:p>
        </w:tc>
        <w:tc>
          <w:tcPr>
            <w:tcW w:w="429" w:type="dxa"/>
            <w:tcBorders>
              <w:top w:val="single" w:sz="4" w:space="0" w:color="auto"/>
              <w:left w:val="nil"/>
              <w:bottom w:val="nil"/>
              <w:right w:val="nil"/>
            </w:tcBorders>
          </w:tcPr>
          <w:p w:rsidR="00AF3A95" w:rsidRPr="00AF3A95" w:rsidRDefault="00AF3A95" w:rsidP="00AF3A95">
            <w:pPr>
              <w:rPr>
                <w:rFonts w:ascii="Tw Cen MT" w:eastAsia="Calibri" w:hAnsi="Tw Cen MT"/>
              </w:rPr>
            </w:pPr>
          </w:p>
        </w:tc>
      </w:tr>
      <w:tr w:rsidR="00AF3A95" w:rsidRPr="00AF3A95" w:rsidTr="00214FFE">
        <w:trPr>
          <w:trHeight w:val="151"/>
        </w:trPr>
        <w:tc>
          <w:tcPr>
            <w:tcW w:w="3226" w:type="dxa"/>
            <w:tcBorders>
              <w:top w:val="nil"/>
              <w:left w:val="nil"/>
              <w:bottom w:val="nil"/>
              <w:right w:val="nil"/>
            </w:tcBorders>
          </w:tcPr>
          <w:p w:rsidR="00AF3A95" w:rsidRPr="00AF3A95" w:rsidRDefault="00AF3A95" w:rsidP="00AF3A95">
            <w:pPr>
              <w:rPr>
                <w:rFonts w:ascii="Tw Cen MT" w:eastAsia="Calibri" w:hAnsi="Tw Cen MT"/>
              </w:rPr>
            </w:pPr>
            <w:r w:rsidRPr="00AF3A95">
              <w:rPr>
                <w:rFonts w:ascii="Tw Cen MT" w:eastAsia="Calibri" w:hAnsi="Tw Cen MT"/>
              </w:rPr>
              <w:t>Colorado</w:t>
            </w:r>
          </w:p>
        </w:tc>
        <w:tc>
          <w:tcPr>
            <w:tcW w:w="427" w:type="dxa"/>
            <w:tcBorders>
              <w:top w:val="nil"/>
              <w:left w:val="nil"/>
              <w:bottom w:val="nil"/>
              <w:right w:val="nil"/>
            </w:tcBorders>
          </w:tcPr>
          <w:p w:rsidR="00AF3A95" w:rsidRPr="00AF3A95" w:rsidRDefault="00AF3A95" w:rsidP="00AF3A95">
            <w:pPr>
              <w:rPr>
                <w:rFonts w:ascii="Tw Cen MT" w:eastAsia="Calibri" w:hAnsi="Tw Cen MT"/>
              </w:rPr>
            </w:pPr>
          </w:p>
        </w:tc>
        <w:tc>
          <w:tcPr>
            <w:tcW w:w="429" w:type="dxa"/>
            <w:tcBorders>
              <w:top w:val="nil"/>
              <w:left w:val="nil"/>
              <w:bottom w:val="nil"/>
              <w:right w:val="nil"/>
            </w:tcBorders>
          </w:tcPr>
          <w:p w:rsidR="00AF3A95" w:rsidRPr="00AF3A95" w:rsidRDefault="00AF3A95" w:rsidP="00AF3A95">
            <w:pPr>
              <w:rPr>
                <w:rFonts w:ascii="Tw Cen MT" w:eastAsia="Calibri" w:hAnsi="Tw Cen MT"/>
              </w:rPr>
            </w:pPr>
          </w:p>
        </w:tc>
        <w:tc>
          <w:tcPr>
            <w:tcW w:w="429" w:type="dxa"/>
            <w:tcBorders>
              <w:top w:val="nil"/>
              <w:left w:val="nil"/>
              <w:bottom w:val="nil"/>
              <w:right w:val="nil"/>
            </w:tcBorders>
            <w:shd w:val="clear" w:color="auto" w:fill="1F497D" w:themeFill="text2"/>
          </w:tcPr>
          <w:p w:rsidR="00AF3A95" w:rsidRPr="00AF3A95" w:rsidRDefault="00AF3A95" w:rsidP="00AF3A95">
            <w:pPr>
              <w:rPr>
                <w:rFonts w:ascii="Tw Cen MT" w:eastAsia="Calibri" w:hAnsi="Tw Cen MT"/>
              </w:rPr>
            </w:pPr>
          </w:p>
        </w:tc>
        <w:tc>
          <w:tcPr>
            <w:tcW w:w="429" w:type="dxa"/>
            <w:tcBorders>
              <w:top w:val="nil"/>
              <w:left w:val="nil"/>
              <w:bottom w:val="nil"/>
              <w:right w:val="nil"/>
            </w:tcBorders>
          </w:tcPr>
          <w:p w:rsidR="00AF3A95" w:rsidRPr="00AF3A95" w:rsidRDefault="00AF3A95" w:rsidP="00AF3A95">
            <w:pPr>
              <w:rPr>
                <w:rFonts w:ascii="Tw Cen MT" w:eastAsia="Calibri" w:hAnsi="Tw Cen MT"/>
              </w:rPr>
            </w:pPr>
          </w:p>
        </w:tc>
        <w:tc>
          <w:tcPr>
            <w:tcW w:w="429" w:type="dxa"/>
            <w:tcBorders>
              <w:top w:val="nil"/>
              <w:left w:val="nil"/>
              <w:bottom w:val="nil"/>
              <w:right w:val="nil"/>
            </w:tcBorders>
          </w:tcPr>
          <w:p w:rsidR="00AF3A95" w:rsidRPr="00AF3A95" w:rsidRDefault="00AF3A95" w:rsidP="00AF3A95">
            <w:pPr>
              <w:rPr>
                <w:rFonts w:ascii="Tw Cen MT" w:eastAsia="Calibri" w:hAnsi="Tw Cen MT"/>
              </w:rPr>
            </w:pPr>
          </w:p>
        </w:tc>
        <w:tc>
          <w:tcPr>
            <w:tcW w:w="429" w:type="dxa"/>
            <w:tcBorders>
              <w:top w:val="nil"/>
              <w:left w:val="nil"/>
              <w:bottom w:val="nil"/>
              <w:right w:val="nil"/>
            </w:tcBorders>
          </w:tcPr>
          <w:p w:rsidR="00AF3A95" w:rsidRPr="00AF3A95" w:rsidRDefault="00AF3A95" w:rsidP="00AF3A95">
            <w:pPr>
              <w:rPr>
                <w:rFonts w:ascii="Tw Cen MT" w:eastAsia="Calibri" w:hAnsi="Tw Cen MT"/>
              </w:rPr>
            </w:pPr>
          </w:p>
        </w:tc>
        <w:tc>
          <w:tcPr>
            <w:tcW w:w="429" w:type="dxa"/>
            <w:tcBorders>
              <w:top w:val="nil"/>
              <w:left w:val="nil"/>
              <w:bottom w:val="nil"/>
              <w:right w:val="nil"/>
            </w:tcBorders>
          </w:tcPr>
          <w:p w:rsidR="00AF3A95" w:rsidRPr="00AF3A95" w:rsidRDefault="00AF3A95" w:rsidP="00AF3A95">
            <w:pPr>
              <w:rPr>
                <w:rFonts w:ascii="Tw Cen MT" w:eastAsia="Calibri" w:hAnsi="Tw Cen MT"/>
              </w:rPr>
            </w:pPr>
          </w:p>
        </w:tc>
        <w:tc>
          <w:tcPr>
            <w:tcW w:w="857" w:type="dxa"/>
            <w:gridSpan w:val="2"/>
            <w:tcBorders>
              <w:top w:val="nil"/>
              <w:left w:val="nil"/>
              <w:bottom w:val="nil"/>
              <w:right w:val="nil"/>
            </w:tcBorders>
            <w:shd w:val="clear" w:color="auto" w:fill="8DB3E2" w:themeFill="text2" w:themeFillTint="66"/>
          </w:tcPr>
          <w:p w:rsidR="00AF3A95" w:rsidRPr="00AF3A95" w:rsidRDefault="00AF3A95" w:rsidP="00AF3A95">
            <w:pPr>
              <w:rPr>
                <w:rFonts w:ascii="Tw Cen MT" w:eastAsia="Calibri" w:hAnsi="Tw Cen MT"/>
              </w:rPr>
            </w:pPr>
          </w:p>
        </w:tc>
        <w:tc>
          <w:tcPr>
            <w:tcW w:w="429" w:type="dxa"/>
            <w:tcBorders>
              <w:top w:val="nil"/>
              <w:left w:val="nil"/>
              <w:bottom w:val="nil"/>
              <w:right w:val="nil"/>
            </w:tcBorders>
          </w:tcPr>
          <w:p w:rsidR="00AF3A95" w:rsidRPr="00AF3A95" w:rsidRDefault="00AF3A95" w:rsidP="00AF3A95">
            <w:pPr>
              <w:rPr>
                <w:rFonts w:ascii="Tw Cen MT" w:eastAsia="Calibri" w:hAnsi="Tw Cen MT"/>
              </w:rPr>
            </w:pPr>
          </w:p>
        </w:tc>
        <w:tc>
          <w:tcPr>
            <w:tcW w:w="429" w:type="dxa"/>
            <w:tcBorders>
              <w:top w:val="nil"/>
              <w:left w:val="nil"/>
              <w:bottom w:val="nil"/>
              <w:right w:val="nil"/>
            </w:tcBorders>
          </w:tcPr>
          <w:p w:rsidR="00AF3A95" w:rsidRPr="00AF3A95" w:rsidRDefault="00AF3A95" w:rsidP="00AF3A95">
            <w:pPr>
              <w:rPr>
                <w:rFonts w:ascii="Tw Cen MT" w:eastAsia="Calibri" w:hAnsi="Tw Cen MT"/>
              </w:rPr>
            </w:pPr>
          </w:p>
        </w:tc>
        <w:tc>
          <w:tcPr>
            <w:tcW w:w="429" w:type="dxa"/>
            <w:tcBorders>
              <w:top w:val="nil"/>
              <w:left w:val="nil"/>
              <w:bottom w:val="nil"/>
              <w:right w:val="nil"/>
            </w:tcBorders>
          </w:tcPr>
          <w:p w:rsidR="00AF3A95" w:rsidRPr="00AF3A95" w:rsidRDefault="00AF3A95" w:rsidP="00AF3A95">
            <w:pPr>
              <w:rPr>
                <w:rFonts w:ascii="Tw Cen MT" w:eastAsia="Calibri" w:hAnsi="Tw Cen MT"/>
              </w:rPr>
            </w:pPr>
          </w:p>
        </w:tc>
        <w:tc>
          <w:tcPr>
            <w:tcW w:w="429" w:type="dxa"/>
            <w:tcBorders>
              <w:top w:val="nil"/>
              <w:left w:val="nil"/>
              <w:bottom w:val="nil"/>
              <w:right w:val="nil"/>
            </w:tcBorders>
          </w:tcPr>
          <w:p w:rsidR="00AF3A95" w:rsidRPr="00AF3A95" w:rsidRDefault="00AF3A95" w:rsidP="00AF3A95">
            <w:pPr>
              <w:rPr>
                <w:rFonts w:ascii="Tw Cen MT" w:eastAsia="Calibri" w:hAnsi="Tw Cen MT"/>
              </w:rPr>
            </w:pPr>
          </w:p>
        </w:tc>
        <w:tc>
          <w:tcPr>
            <w:tcW w:w="429" w:type="dxa"/>
            <w:tcBorders>
              <w:top w:val="nil"/>
              <w:left w:val="nil"/>
              <w:bottom w:val="nil"/>
              <w:right w:val="nil"/>
            </w:tcBorders>
          </w:tcPr>
          <w:p w:rsidR="00AF3A95" w:rsidRPr="00AF3A95" w:rsidRDefault="00AF3A95" w:rsidP="00AF3A95">
            <w:pPr>
              <w:rPr>
                <w:rFonts w:ascii="Tw Cen MT" w:eastAsia="Calibri" w:hAnsi="Tw Cen MT"/>
              </w:rPr>
            </w:pPr>
          </w:p>
        </w:tc>
        <w:tc>
          <w:tcPr>
            <w:tcW w:w="429" w:type="dxa"/>
            <w:tcBorders>
              <w:top w:val="nil"/>
              <w:left w:val="nil"/>
              <w:bottom w:val="nil"/>
              <w:right w:val="nil"/>
            </w:tcBorders>
            <w:shd w:val="clear" w:color="auto" w:fill="1F497D" w:themeFill="text2"/>
          </w:tcPr>
          <w:p w:rsidR="00AF3A95" w:rsidRPr="00AF3A95" w:rsidRDefault="00AF3A95" w:rsidP="00AF3A95">
            <w:pPr>
              <w:rPr>
                <w:rFonts w:ascii="Tw Cen MT" w:eastAsia="Calibri" w:hAnsi="Tw Cen MT"/>
              </w:rPr>
            </w:pPr>
          </w:p>
        </w:tc>
        <w:tc>
          <w:tcPr>
            <w:tcW w:w="429" w:type="dxa"/>
            <w:tcBorders>
              <w:top w:val="nil"/>
              <w:left w:val="nil"/>
              <w:bottom w:val="nil"/>
              <w:right w:val="nil"/>
            </w:tcBorders>
          </w:tcPr>
          <w:p w:rsidR="00AF3A95" w:rsidRPr="00AF3A95" w:rsidRDefault="00AF3A95" w:rsidP="00AF3A95">
            <w:pPr>
              <w:rPr>
                <w:rFonts w:ascii="Tw Cen MT" w:eastAsia="Calibri" w:hAnsi="Tw Cen MT"/>
              </w:rPr>
            </w:pPr>
          </w:p>
        </w:tc>
      </w:tr>
      <w:tr w:rsidR="00AF3A95" w:rsidRPr="00AF3A95" w:rsidTr="00214FFE">
        <w:trPr>
          <w:trHeight w:val="151"/>
        </w:trPr>
        <w:tc>
          <w:tcPr>
            <w:tcW w:w="3226" w:type="dxa"/>
            <w:tcBorders>
              <w:top w:val="nil"/>
              <w:left w:val="nil"/>
              <w:bottom w:val="nil"/>
              <w:right w:val="nil"/>
            </w:tcBorders>
          </w:tcPr>
          <w:p w:rsidR="00AF3A95" w:rsidRPr="00AF3A95" w:rsidRDefault="00AF3A95" w:rsidP="00AF3A95">
            <w:pPr>
              <w:rPr>
                <w:rFonts w:ascii="Tw Cen MT" w:eastAsia="Calibri" w:hAnsi="Tw Cen MT"/>
              </w:rPr>
            </w:pPr>
            <w:r w:rsidRPr="00AF3A95">
              <w:rPr>
                <w:rFonts w:ascii="Tw Cen MT" w:eastAsia="Calibri" w:hAnsi="Tw Cen MT"/>
              </w:rPr>
              <w:t>Sevier, Cedar, Beaver</w:t>
            </w:r>
          </w:p>
        </w:tc>
        <w:tc>
          <w:tcPr>
            <w:tcW w:w="427" w:type="dxa"/>
            <w:tcBorders>
              <w:top w:val="nil"/>
              <w:left w:val="nil"/>
              <w:bottom w:val="nil"/>
              <w:right w:val="nil"/>
            </w:tcBorders>
          </w:tcPr>
          <w:p w:rsidR="00AF3A95" w:rsidRPr="00AF3A95" w:rsidRDefault="00AF3A95" w:rsidP="00AF3A95">
            <w:pPr>
              <w:rPr>
                <w:rFonts w:ascii="Tw Cen MT" w:eastAsia="Calibri" w:hAnsi="Tw Cen MT"/>
              </w:rPr>
            </w:pPr>
          </w:p>
        </w:tc>
        <w:tc>
          <w:tcPr>
            <w:tcW w:w="429" w:type="dxa"/>
            <w:tcBorders>
              <w:top w:val="nil"/>
              <w:left w:val="nil"/>
              <w:bottom w:val="nil"/>
              <w:right w:val="nil"/>
            </w:tcBorders>
          </w:tcPr>
          <w:p w:rsidR="00AF3A95" w:rsidRPr="00AF3A95" w:rsidRDefault="00AF3A95" w:rsidP="00AF3A95">
            <w:pPr>
              <w:rPr>
                <w:rFonts w:ascii="Tw Cen MT" w:eastAsia="Calibri" w:hAnsi="Tw Cen MT"/>
              </w:rPr>
            </w:pPr>
          </w:p>
        </w:tc>
        <w:tc>
          <w:tcPr>
            <w:tcW w:w="429" w:type="dxa"/>
            <w:tcBorders>
              <w:top w:val="nil"/>
              <w:left w:val="nil"/>
              <w:bottom w:val="nil"/>
              <w:right w:val="nil"/>
            </w:tcBorders>
          </w:tcPr>
          <w:p w:rsidR="00AF3A95" w:rsidRPr="00AF3A95" w:rsidRDefault="00AF3A95" w:rsidP="00AF3A95">
            <w:pPr>
              <w:rPr>
                <w:rFonts w:ascii="Tw Cen MT" w:eastAsia="Calibri" w:hAnsi="Tw Cen MT"/>
              </w:rPr>
            </w:pPr>
          </w:p>
        </w:tc>
        <w:tc>
          <w:tcPr>
            <w:tcW w:w="429" w:type="dxa"/>
            <w:tcBorders>
              <w:top w:val="nil"/>
              <w:left w:val="nil"/>
              <w:bottom w:val="nil"/>
              <w:right w:val="nil"/>
            </w:tcBorders>
          </w:tcPr>
          <w:p w:rsidR="00AF3A95" w:rsidRPr="00AF3A95" w:rsidRDefault="00AF3A95" w:rsidP="00AF3A95">
            <w:pPr>
              <w:rPr>
                <w:rFonts w:ascii="Tw Cen MT" w:eastAsia="Calibri" w:hAnsi="Tw Cen MT"/>
              </w:rPr>
            </w:pPr>
          </w:p>
        </w:tc>
        <w:tc>
          <w:tcPr>
            <w:tcW w:w="429" w:type="dxa"/>
            <w:tcBorders>
              <w:top w:val="nil"/>
              <w:left w:val="nil"/>
              <w:bottom w:val="nil"/>
              <w:right w:val="nil"/>
            </w:tcBorders>
            <w:shd w:val="clear" w:color="auto" w:fill="1F497D" w:themeFill="text2"/>
          </w:tcPr>
          <w:p w:rsidR="00AF3A95" w:rsidRPr="00AF3A95" w:rsidRDefault="00AF3A95" w:rsidP="00AF3A95">
            <w:pPr>
              <w:rPr>
                <w:rFonts w:ascii="Tw Cen MT" w:eastAsia="Calibri" w:hAnsi="Tw Cen MT"/>
              </w:rPr>
            </w:pPr>
          </w:p>
        </w:tc>
        <w:tc>
          <w:tcPr>
            <w:tcW w:w="429" w:type="dxa"/>
            <w:tcBorders>
              <w:top w:val="nil"/>
              <w:left w:val="nil"/>
              <w:bottom w:val="nil"/>
              <w:right w:val="nil"/>
            </w:tcBorders>
          </w:tcPr>
          <w:p w:rsidR="00AF3A95" w:rsidRPr="00AF3A95" w:rsidRDefault="00AF3A95" w:rsidP="00AF3A95">
            <w:pPr>
              <w:rPr>
                <w:rFonts w:ascii="Tw Cen MT" w:eastAsia="Calibri" w:hAnsi="Tw Cen MT"/>
              </w:rPr>
            </w:pPr>
          </w:p>
        </w:tc>
        <w:tc>
          <w:tcPr>
            <w:tcW w:w="429" w:type="dxa"/>
            <w:tcBorders>
              <w:top w:val="nil"/>
              <w:left w:val="nil"/>
              <w:bottom w:val="nil"/>
              <w:right w:val="nil"/>
            </w:tcBorders>
          </w:tcPr>
          <w:p w:rsidR="00AF3A95" w:rsidRPr="00AF3A95" w:rsidRDefault="00AF3A95" w:rsidP="00AF3A95">
            <w:pPr>
              <w:rPr>
                <w:rFonts w:ascii="Tw Cen MT" w:eastAsia="Calibri" w:hAnsi="Tw Cen MT"/>
              </w:rPr>
            </w:pPr>
          </w:p>
        </w:tc>
        <w:tc>
          <w:tcPr>
            <w:tcW w:w="429" w:type="dxa"/>
            <w:tcBorders>
              <w:top w:val="nil"/>
              <w:left w:val="nil"/>
              <w:bottom w:val="nil"/>
              <w:right w:val="nil"/>
            </w:tcBorders>
          </w:tcPr>
          <w:p w:rsidR="00AF3A95" w:rsidRPr="00AF3A95" w:rsidRDefault="00AF3A95" w:rsidP="00AF3A95">
            <w:pPr>
              <w:rPr>
                <w:rFonts w:ascii="Tw Cen MT" w:eastAsia="Calibri" w:hAnsi="Tw Cen MT"/>
              </w:rPr>
            </w:pPr>
          </w:p>
        </w:tc>
        <w:tc>
          <w:tcPr>
            <w:tcW w:w="429" w:type="dxa"/>
            <w:tcBorders>
              <w:top w:val="nil"/>
              <w:left w:val="nil"/>
              <w:bottom w:val="nil"/>
              <w:right w:val="nil"/>
            </w:tcBorders>
          </w:tcPr>
          <w:p w:rsidR="00AF3A95" w:rsidRPr="00AF3A95" w:rsidRDefault="00AF3A95" w:rsidP="00AF3A95">
            <w:pPr>
              <w:rPr>
                <w:rFonts w:ascii="Tw Cen MT" w:eastAsia="Calibri" w:hAnsi="Tw Cen MT"/>
              </w:rPr>
            </w:pPr>
          </w:p>
        </w:tc>
        <w:tc>
          <w:tcPr>
            <w:tcW w:w="857" w:type="dxa"/>
            <w:gridSpan w:val="2"/>
            <w:tcBorders>
              <w:top w:val="nil"/>
              <w:left w:val="nil"/>
              <w:bottom w:val="nil"/>
              <w:right w:val="nil"/>
            </w:tcBorders>
            <w:shd w:val="clear" w:color="auto" w:fill="8DB3E2" w:themeFill="text2" w:themeFillTint="66"/>
          </w:tcPr>
          <w:p w:rsidR="00AF3A95" w:rsidRPr="00AF3A95" w:rsidRDefault="00AF3A95" w:rsidP="00AF3A95">
            <w:pPr>
              <w:rPr>
                <w:rFonts w:ascii="Tw Cen MT" w:eastAsia="Calibri" w:hAnsi="Tw Cen MT"/>
              </w:rPr>
            </w:pPr>
          </w:p>
        </w:tc>
        <w:tc>
          <w:tcPr>
            <w:tcW w:w="429" w:type="dxa"/>
            <w:tcBorders>
              <w:top w:val="nil"/>
              <w:left w:val="nil"/>
              <w:bottom w:val="nil"/>
              <w:right w:val="nil"/>
            </w:tcBorders>
          </w:tcPr>
          <w:p w:rsidR="00AF3A95" w:rsidRPr="00AF3A95" w:rsidRDefault="00AF3A95" w:rsidP="00AF3A95">
            <w:pPr>
              <w:rPr>
                <w:rFonts w:ascii="Tw Cen MT" w:eastAsia="Calibri" w:hAnsi="Tw Cen MT"/>
              </w:rPr>
            </w:pPr>
          </w:p>
        </w:tc>
        <w:tc>
          <w:tcPr>
            <w:tcW w:w="429" w:type="dxa"/>
            <w:tcBorders>
              <w:top w:val="nil"/>
              <w:left w:val="nil"/>
              <w:bottom w:val="nil"/>
              <w:right w:val="nil"/>
            </w:tcBorders>
          </w:tcPr>
          <w:p w:rsidR="00AF3A95" w:rsidRPr="00AF3A95" w:rsidRDefault="00AF3A95" w:rsidP="00AF3A95">
            <w:pPr>
              <w:rPr>
                <w:rFonts w:ascii="Tw Cen MT" w:eastAsia="Calibri" w:hAnsi="Tw Cen MT"/>
              </w:rPr>
            </w:pPr>
          </w:p>
        </w:tc>
        <w:tc>
          <w:tcPr>
            <w:tcW w:w="429" w:type="dxa"/>
            <w:tcBorders>
              <w:top w:val="nil"/>
              <w:left w:val="nil"/>
              <w:bottom w:val="nil"/>
              <w:right w:val="nil"/>
            </w:tcBorders>
          </w:tcPr>
          <w:p w:rsidR="00AF3A95" w:rsidRPr="00AF3A95" w:rsidRDefault="00AF3A95" w:rsidP="00AF3A95">
            <w:pPr>
              <w:rPr>
                <w:rFonts w:ascii="Tw Cen MT" w:eastAsia="Calibri" w:hAnsi="Tw Cen MT"/>
              </w:rPr>
            </w:pPr>
          </w:p>
        </w:tc>
        <w:tc>
          <w:tcPr>
            <w:tcW w:w="429" w:type="dxa"/>
            <w:tcBorders>
              <w:top w:val="nil"/>
              <w:left w:val="nil"/>
              <w:bottom w:val="nil"/>
              <w:right w:val="nil"/>
            </w:tcBorders>
          </w:tcPr>
          <w:p w:rsidR="00AF3A95" w:rsidRPr="00AF3A95" w:rsidRDefault="00AF3A95" w:rsidP="00AF3A95">
            <w:pPr>
              <w:rPr>
                <w:rFonts w:ascii="Tw Cen MT" w:eastAsia="Calibri" w:hAnsi="Tw Cen MT"/>
              </w:rPr>
            </w:pPr>
          </w:p>
        </w:tc>
        <w:tc>
          <w:tcPr>
            <w:tcW w:w="429" w:type="dxa"/>
            <w:tcBorders>
              <w:top w:val="nil"/>
              <w:left w:val="nil"/>
              <w:bottom w:val="nil"/>
              <w:right w:val="nil"/>
            </w:tcBorders>
          </w:tcPr>
          <w:p w:rsidR="00AF3A95" w:rsidRPr="00AF3A95" w:rsidRDefault="00AF3A95" w:rsidP="00AF3A95">
            <w:pPr>
              <w:rPr>
                <w:rFonts w:ascii="Tw Cen MT" w:eastAsia="Calibri" w:hAnsi="Tw Cen MT"/>
              </w:rPr>
            </w:pPr>
          </w:p>
        </w:tc>
      </w:tr>
      <w:tr w:rsidR="00AF3A95" w:rsidRPr="00AF3A95" w:rsidTr="00214FFE">
        <w:trPr>
          <w:trHeight w:val="151"/>
        </w:trPr>
        <w:tc>
          <w:tcPr>
            <w:tcW w:w="3226" w:type="dxa"/>
            <w:tcBorders>
              <w:top w:val="nil"/>
              <w:left w:val="nil"/>
              <w:bottom w:val="nil"/>
              <w:right w:val="nil"/>
            </w:tcBorders>
          </w:tcPr>
          <w:p w:rsidR="00AF3A95" w:rsidRPr="00AF3A95" w:rsidRDefault="00AF3A95" w:rsidP="00AF3A95">
            <w:pPr>
              <w:rPr>
                <w:rFonts w:ascii="Tw Cen MT" w:eastAsia="Calibri" w:hAnsi="Tw Cen MT"/>
              </w:rPr>
            </w:pPr>
            <w:r w:rsidRPr="00AF3A95">
              <w:rPr>
                <w:rFonts w:ascii="Tw Cen MT" w:eastAsia="Calibri" w:hAnsi="Tw Cen MT"/>
              </w:rPr>
              <w:t>Great Salt Lake, W. Desert</w:t>
            </w:r>
          </w:p>
        </w:tc>
        <w:tc>
          <w:tcPr>
            <w:tcW w:w="427" w:type="dxa"/>
            <w:tcBorders>
              <w:top w:val="nil"/>
              <w:left w:val="nil"/>
              <w:bottom w:val="nil"/>
              <w:right w:val="nil"/>
            </w:tcBorders>
          </w:tcPr>
          <w:p w:rsidR="00AF3A95" w:rsidRPr="00AF3A95" w:rsidRDefault="00AF3A95" w:rsidP="00AF3A95">
            <w:pPr>
              <w:rPr>
                <w:rFonts w:ascii="Tw Cen MT" w:eastAsia="Calibri" w:hAnsi="Tw Cen MT"/>
              </w:rPr>
            </w:pPr>
          </w:p>
        </w:tc>
        <w:tc>
          <w:tcPr>
            <w:tcW w:w="429" w:type="dxa"/>
            <w:tcBorders>
              <w:top w:val="nil"/>
              <w:left w:val="nil"/>
              <w:bottom w:val="nil"/>
              <w:right w:val="nil"/>
            </w:tcBorders>
          </w:tcPr>
          <w:p w:rsidR="00AF3A95" w:rsidRPr="00AF3A95" w:rsidRDefault="00AF3A95" w:rsidP="00AF3A95">
            <w:pPr>
              <w:rPr>
                <w:rFonts w:ascii="Tw Cen MT" w:eastAsia="Calibri" w:hAnsi="Tw Cen MT"/>
              </w:rPr>
            </w:pPr>
          </w:p>
        </w:tc>
        <w:tc>
          <w:tcPr>
            <w:tcW w:w="429" w:type="dxa"/>
            <w:tcBorders>
              <w:top w:val="nil"/>
              <w:left w:val="nil"/>
              <w:bottom w:val="nil"/>
              <w:right w:val="nil"/>
            </w:tcBorders>
          </w:tcPr>
          <w:p w:rsidR="00AF3A95" w:rsidRPr="00AF3A95" w:rsidRDefault="00AF3A95" w:rsidP="00AF3A95">
            <w:pPr>
              <w:rPr>
                <w:rFonts w:ascii="Tw Cen MT" w:eastAsia="Calibri" w:hAnsi="Tw Cen MT"/>
              </w:rPr>
            </w:pPr>
          </w:p>
        </w:tc>
        <w:tc>
          <w:tcPr>
            <w:tcW w:w="429" w:type="dxa"/>
            <w:tcBorders>
              <w:top w:val="nil"/>
              <w:left w:val="nil"/>
              <w:bottom w:val="nil"/>
              <w:right w:val="nil"/>
            </w:tcBorders>
          </w:tcPr>
          <w:p w:rsidR="00AF3A95" w:rsidRPr="00AF3A95" w:rsidRDefault="00AF3A95" w:rsidP="00AF3A95">
            <w:pPr>
              <w:rPr>
                <w:rFonts w:ascii="Tw Cen MT" w:eastAsia="Calibri" w:hAnsi="Tw Cen MT"/>
              </w:rPr>
            </w:pPr>
          </w:p>
        </w:tc>
        <w:tc>
          <w:tcPr>
            <w:tcW w:w="429" w:type="dxa"/>
            <w:tcBorders>
              <w:top w:val="nil"/>
              <w:left w:val="nil"/>
              <w:bottom w:val="nil"/>
              <w:right w:val="nil"/>
            </w:tcBorders>
            <w:shd w:val="clear" w:color="auto" w:fill="1F497D" w:themeFill="text2"/>
          </w:tcPr>
          <w:p w:rsidR="00AF3A95" w:rsidRPr="00AF3A95" w:rsidRDefault="00AF3A95" w:rsidP="00AF3A95">
            <w:pPr>
              <w:rPr>
                <w:rFonts w:ascii="Tw Cen MT" w:eastAsia="Calibri" w:hAnsi="Tw Cen MT"/>
              </w:rPr>
            </w:pPr>
          </w:p>
        </w:tc>
        <w:tc>
          <w:tcPr>
            <w:tcW w:w="429" w:type="dxa"/>
            <w:tcBorders>
              <w:top w:val="nil"/>
              <w:left w:val="nil"/>
              <w:bottom w:val="nil"/>
              <w:right w:val="nil"/>
            </w:tcBorders>
          </w:tcPr>
          <w:p w:rsidR="00AF3A95" w:rsidRPr="00AF3A95" w:rsidRDefault="00AF3A95" w:rsidP="00AF3A95">
            <w:pPr>
              <w:rPr>
                <w:rFonts w:ascii="Tw Cen MT" w:eastAsia="Calibri" w:hAnsi="Tw Cen MT"/>
              </w:rPr>
            </w:pPr>
          </w:p>
        </w:tc>
        <w:tc>
          <w:tcPr>
            <w:tcW w:w="429" w:type="dxa"/>
            <w:tcBorders>
              <w:top w:val="nil"/>
              <w:left w:val="nil"/>
              <w:bottom w:val="nil"/>
              <w:right w:val="nil"/>
            </w:tcBorders>
          </w:tcPr>
          <w:p w:rsidR="00AF3A95" w:rsidRPr="00AF3A95" w:rsidRDefault="00AF3A95" w:rsidP="00AF3A95">
            <w:pPr>
              <w:rPr>
                <w:rFonts w:ascii="Tw Cen MT" w:eastAsia="Calibri" w:hAnsi="Tw Cen MT"/>
              </w:rPr>
            </w:pPr>
          </w:p>
        </w:tc>
        <w:tc>
          <w:tcPr>
            <w:tcW w:w="429" w:type="dxa"/>
            <w:tcBorders>
              <w:top w:val="nil"/>
              <w:left w:val="nil"/>
              <w:bottom w:val="nil"/>
              <w:right w:val="nil"/>
            </w:tcBorders>
          </w:tcPr>
          <w:p w:rsidR="00AF3A95" w:rsidRPr="00AF3A95" w:rsidRDefault="00AF3A95" w:rsidP="00AF3A95">
            <w:pPr>
              <w:rPr>
                <w:rFonts w:ascii="Tw Cen MT" w:eastAsia="Calibri" w:hAnsi="Tw Cen MT"/>
              </w:rPr>
            </w:pPr>
          </w:p>
        </w:tc>
        <w:tc>
          <w:tcPr>
            <w:tcW w:w="429" w:type="dxa"/>
            <w:tcBorders>
              <w:top w:val="nil"/>
              <w:left w:val="nil"/>
              <w:bottom w:val="nil"/>
              <w:right w:val="nil"/>
            </w:tcBorders>
          </w:tcPr>
          <w:p w:rsidR="00AF3A95" w:rsidRPr="00AF3A95" w:rsidRDefault="00AF3A95" w:rsidP="00AF3A95">
            <w:pPr>
              <w:rPr>
                <w:rFonts w:ascii="Tw Cen MT" w:eastAsia="Calibri" w:hAnsi="Tw Cen MT"/>
              </w:rPr>
            </w:pPr>
          </w:p>
        </w:tc>
        <w:tc>
          <w:tcPr>
            <w:tcW w:w="857" w:type="dxa"/>
            <w:gridSpan w:val="2"/>
            <w:tcBorders>
              <w:top w:val="nil"/>
              <w:left w:val="nil"/>
              <w:bottom w:val="nil"/>
              <w:right w:val="nil"/>
            </w:tcBorders>
            <w:shd w:val="clear" w:color="auto" w:fill="8DB3E2" w:themeFill="text2" w:themeFillTint="66"/>
          </w:tcPr>
          <w:p w:rsidR="00AF3A95" w:rsidRPr="00AF3A95" w:rsidRDefault="00AF3A95" w:rsidP="00AF3A95">
            <w:pPr>
              <w:rPr>
                <w:rFonts w:ascii="Tw Cen MT" w:eastAsia="Calibri" w:hAnsi="Tw Cen MT"/>
              </w:rPr>
            </w:pPr>
          </w:p>
        </w:tc>
        <w:tc>
          <w:tcPr>
            <w:tcW w:w="429" w:type="dxa"/>
            <w:tcBorders>
              <w:top w:val="nil"/>
              <w:left w:val="nil"/>
              <w:bottom w:val="nil"/>
              <w:right w:val="nil"/>
            </w:tcBorders>
          </w:tcPr>
          <w:p w:rsidR="00AF3A95" w:rsidRPr="00AF3A95" w:rsidRDefault="00AF3A95" w:rsidP="00AF3A95">
            <w:pPr>
              <w:rPr>
                <w:rFonts w:ascii="Tw Cen MT" w:eastAsia="Calibri" w:hAnsi="Tw Cen MT"/>
              </w:rPr>
            </w:pPr>
          </w:p>
        </w:tc>
        <w:tc>
          <w:tcPr>
            <w:tcW w:w="429" w:type="dxa"/>
            <w:tcBorders>
              <w:top w:val="nil"/>
              <w:left w:val="nil"/>
              <w:bottom w:val="nil"/>
              <w:right w:val="nil"/>
            </w:tcBorders>
          </w:tcPr>
          <w:p w:rsidR="00AF3A95" w:rsidRPr="00AF3A95" w:rsidRDefault="00AF3A95" w:rsidP="00AF3A95">
            <w:pPr>
              <w:rPr>
                <w:rFonts w:ascii="Tw Cen MT" w:eastAsia="Calibri" w:hAnsi="Tw Cen MT"/>
              </w:rPr>
            </w:pPr>
          </w:p>
        </w:tc>
        <w:tc>
          <w:tcPr>
            <w:tcW w:w="429" w:type="dxa"/>
            <w:tcBorders>
              <w:top w:val="nil"/>
              <w:left w:val="nil"/>
              <w:bottom w:val="nil"/>
              <w:right w:val="nil"/>
            </w:tcBorders>
          </w:tcPr>
          <w:p w:rsidR="00AF3A95" w:rsidRPr="00AF3A95" w:rsidRDefault="00AF3A95" w:rsidP="00AF3A95">
            <w:pPr>
              <w:rPr>
                <w:rFonts w:ascii="Tw Cen MT" w:eastAsia="Calibri" w:hAnsi="Tw Cen MT"/>
              </w:rPr>
            </w:pPr>
          </w:p>
        </w:tc>
        <w:tc>
          <w:tcPr>
            <w:tcW w:w="429" w:type="dxa"/>
            <w:tcBorders>
              <w:top w:val="nil"/>
              <w:left w:val="nil"/>
              <w:bottom w:val="nil"/>
              <w:right w:val="nil"/>
            </w:tcBorders>
          </w:tcPr>
          <w:p w:rsidR="00AF3A95" w:rsidRPr="00AF3A95" w:rsidRDefault="00AF3A95" w:rsidP="00AF3A95">
            <w:pPr>
              <w:rPr>
                <w:rFonts w:ascii="Tw Cen MT" w:eastAsia="Calibri" w:hAnsi="Tw Cen MT"/>
              </w:rPr>
            </w:pPr>
          </w:p>
        </w:tc>
        <w:tc>
          <w:tcPr>
            <w:tcW w:w="429" w:type="dxa"/>
            <w:tcBorders>
              <w:top w:val="nil"/>
              <w:left w:val="nil"/>
              <w:bottom w:val="nil"/>
              <w:right w:val="nil"/>
            </w:tcBorders>
          </w:tcPr>
          <w:p w:rsidR="00AF3A95" w:rsidRPr="00AF3A95" w:rsidRDefault="00AF3A95" w:rsidP="00AF3A95">
            <w:pPr>
              <w:rPr>
                <w:rFonts w:ascii="Tw Cen MT" w:eastAsia="Calibri" w:hAnsi="Tw Cen MT"/>
              </w:rPr>
            </w:pPr>
          </w:p>
        </w:tc>
      </w:tr>
      <w:tr w:rsidR="00AF3A95" w:rsidRPr="00AF3A95" w:rsidTr="00214FFE">
        <w:trPr>
          <w:trHeight w:val="151"/>
        </w:trPr>
        <w:tc>
          <w:tcPr>
            <w:tcW w:w="3226" w:type="dxa"/>
            <w:tcBorders>
              <w:top w:val="nil"/>
              <w:left w:val="nil"/>
              <w:bottom w:val="nil"/>
              <w:right w:val="nil"/>
            </w:tcBorders>
          </w:tcPr>
          <w:p w:rsidR="00AF3A95" w:rsidRPr="00AF3A95" w:rsidRDefault="00AF3A95" w:rsidP="00AF3A95">
            <w:pPr>
              <w:rPr>
                <w:rFonts w:ascii="Tw Cen MT" w:eastAsia="Calibri" w:hAnsi="Tw Cen MT"/>
              </w:rPr>
            </w:pPr>
            <w:r w:rsidRPr="00AF3A95">
              <w:rPr>
                <w:rFonts w:ascii="Tw Cen MT" w:eastAsia="Calibri" w:hAnsi="Tw Cen MT"/>
              </w:rPr>
              <w:t>Bear River</w:t>
            </w:r>
          </w:p>
        </w:tc>
        <w:tc>
          <w:tcPr>
            <w:tcW w:w="427" w:type="dxa"/>
            <w:tcBorders>
              <w:top w:val="nil"/>
              <w:left w:val="nil"/>
              <w:bottom w:val="nil"/>
              <w:right w:val="nil"/>
            </w:tcBorders>
          </w:tcPr>
          <w:p w:rsidR="00AF3A95" w:rsidRPr="00AF3A95" w:rsidRDefault="00AF3A95" w:rsidP="00AF3A95">
            <w:pPr>
              <w:rPr>
                <w:rFonts w:ascii="Tw Cen MT" w:eastAsia="Calibri" w:hAnsi="Tw Cen MT"/>
              </w:rPr>
            </w:pPr>
          </w:p>
        </w:tc>
        <w:tc>
          <w:tcPr>
            <w:tcW w:w="429" w:type="dxa"/>
            <w:tcBorders>
              <w:top w:val="nil"/>
              <w:left w:val="nil"/>
              <w:bottom w:val="nil"/>
              <w:right w:val="nil"/>
            </w:tcBorders>
          </w:tcPr>
          <w:p w:rsidR="00AF3A95" w:rsidRPr="00AF3A95" w:rsidRDefault="00AF3A95" w:rsidP="00AF3A95">
            <w:pPr>
              <w:rPr>
                <w:rFonts w:ascii="Tw Cen MT" w:eastAsia="Calibri" w:hAnsi="Tw Cen MT"/>
              </w:rPr>
            </w:pPr>
          </w:p>
        </w:tc>
        <w:tc>
          <w:tcPr>
            <w:tcW w:w="429" w:type="dxa"/>
            <w:tcBorders>
              <w:top w:val="nil"/>
              <w:left w:val="nil"/>
              <w:bottom w:val="nil"/>
              <w:right w:val="nil"/>
            </w:tcBorders>
          </w:tcPr>
          <w:p w:rsidR="00AF3A95" w:rsidRPr="00AF3A95" w:rsidRDefault="00AF3A95" w:rsidP="00AF3A95">
            <w:pPr>
              <w:rPr>
                <w:rFonts w:ascii="Tw Cen MT" w:eastAsia="Calibri" w:hAnsi="Tw Cen MT"/>
              </w:rPr>
            </w:pPr>
          </w:p>
        </w:tc>
        <w:tc>
          <w:tcPr>
            <w:tcW w:w="429" w:type="dxa"/>
            <w:tcBorders>
              <w:top w:val="nil"/>
              <w:left w:val="nil"/>
              <w:bottom w:val="nil"/>
              <w:right w:val="nil"/>
            </w:tcBorders>
          </w:tcPr>
          <w:p w:rsidR="00AF3A95" w:rsidRPr="00AF3A95" w:rsidRDefault="00AF3A95" w:rsidP="00AF3A95">
            <w:pPr>
              <w:rPr>
                <w:rFonts w:ascii="Tw Cen MT" w:eastAsia="Calibri" w:hAnsi="Tw Cen MT"/>
              </w:rPr>
            </w:pPr>
          </w:p>
        </w:tc>
        <w:tc>
          <w:tcPr>
            <w:tcW w:w="429" w:type="dxa"/>
            <w:tcBorders>
              <w:top w:val="nil"/>
              <w:left w:val="nil"/>
              <w:bottom w:val="nil"/>
              <w:right w:val="nil"/>
            </w:tcBorders>
          </w:tcPr>
          <w:p w:rsidR="00AF3A95" w:rsidRPr="00AF3A95" w:rsidRDefault="00AF3A95" w:rsidP="00AF3A95">
            <w:pPr>
              <w:rPr>
                <w:rFonts w:ascii="Tw Cen MT" w:eastAsia="Calibri" w:hAnsi="Tw Cen MT"/>
              </w:rPr>
            </w:pPr>
          </w:p>
        </w:tc>
        <w:tc>
          <w:tcPr>
            <w:tcW w:w="429" w:type="dxa"/>
            <w:tcBorders>
              <w:top w:val="nil"/>
              <w:left w:val="nil"/>
              <w:bottom w:val="nil"/>
              <w:right w:val="nil"/>
            </w:tcBorders>
          </w:tcPr>
          <w:p w:rsidR="00AF3A95" w:rsidRPr="00AF3A95" w:rsidRDefault="00AF3A95" w:rsidP="00AF3A95">
            <w:pPr>
              <w:rPr>
                <w:rFonts w:ascii="Tw Cen MT" w:eastAsia="Calibri" w:hAnsi="Tw Cen MT"/>
              </w:rPr>
            </w:pPr>
          </w:p>
        </w:tc>
        <w:tc>
          <w:tcPr>
            <w:tcW w:w="429" w:type="dxa"/>
            <w:tcBorders>
              <w:top w:val="nil"/>
              <w:left w:val="nil"/>
              <w:bottom w:val="nil"/>
              <w:right w:val="nil"/>
            </w:tcBorders>
            <w:shd w:val="clear" w:color="auto" w:fill="1F497D" w:themeFill="text2"/>
          </w:tcPr>
          <w:p w:rsidR="00AF3A95" w:rsidRPr="00AF3A95" w:rsidRDefault="00AF3A95" w:rsidP="00AF3A95">
            <w:pPr>
              <w:rPr>
                <w:rFonts w:ascii="Tw Cen MT" w:eastAsia="Calibri" w:hAnsi="Tw Cen MT"/>
              </w:rPr>
            </w:pPr>
          </w:p>
        </w:tc>
        <w:tc>
          <w:tcPr>
            <w:tcW w:w="429" w:type="dxa"/>
            <w:tcBorders>
              <w:top w:val="nil"/>
              <w:left w:val="nil"/>
              <w:bottom w:val="nil"/>
              <w:right w:val="nil"/>
            </w:tcBorders>
          </w:tcPr>
          <w:p w:rsidR="00AF3A95" w:rsidRPr="00AF3A95" w:rsidRDefault="00AF3A95" w:rsidP="00AF3A95">
            <w:pPr>
              <w:rPr>
                <w:rFonts w:ascii="Tw Cen MT" w:eastAsia="Calibri" w:hAnsi="Tw Cen MT"/>
              </w:rPr>
            </w:pPr>
          </w:p>
        </w:tc>
        <w:tc>
          <w:tcPr>
            <w:tcW w:w="429" w:type="dxa"/>
            <w:tcBorders>
              <w:top w:val="nil"/>
              <w:left w:val="nil"/>
              <w:bottom w:val="nil"/>
              <w:right w:val="nil"/>
            </w:tcBorders>
          </w:tcPr>
          <w:p w:rsidR="00AF3A95" w:rsidRPr="00AF3A95" w:rsidRDefault="00AF3A95" w:rsidP="00AF3A95">
            <w:pPr>
              <w:rPr>
                <w:rFonts w:ascii="Tw Cen MT" w:eastAsia="Calibri" w:hAnsi="Tw Cen MT"/>
              </w:rPr>
            </w:pPr>
          </w:p>
        </w:tc>
        <w:tc>
          <w:tcPr>
            <w:tcW w:w="429" w:type="dxa"/>
            <w:tcBorders>
              <w:top w:val="nil"/>
              <w:left w:val="nil"/>
              <w:bottom w:val="nil"/>
              <w:right w:val="nil"/>
            </w:tcBorders>
          </w:tcPr>
          <w:p w:rsidR="00AF3A95" w:rsidRPr="00AF3A95" w:rsidRDefault="00AF3A95" w:rsidP="00AF3A95">
            <w:pPr>
              <w:rPr>
                <w:rFonts w:ascii="Tw Cen MT" w:eastAsia="Calibri" w:hAnsi="Tw Cen MT"/>
              </w:rPr>
            </w:pPr>
          </w:p>
        </w:tc>
        <w:tc>
          <w:tcPr>
            <w:tcW w:w="429" w:type="dxa"/>
            <w:tcBorders>
              <w:top w:val="nil"/>
              <w:left w:val="nil"/>
              <w:bottom w:val="nil"/>
              <w:right w:val="nil"/>
            </w:tcBorders>
          </w:tcPr>
          <w:p w:rsidR="00AF3A95" w:rsidRPr="00AF3A95" w:rsidRDefault="00AF3A95" w:rsidP="00AF3A95">
            <w:pPr>
              <w:rPr>
                <w:rFonts w:ascii="Tw Cen MT" w:eastAsia="Calibri" w:hAnsi="Tw Cen MT"/>
              </w:rPr>
            </w:pPr>
          </w:p>
        </w:tc>
        <w:tc>
          <w:tcPr>
            <w:tcW w:w="857" w:type="dxa"/>
            <w:gridSpan w:val="2"/>
            <w:tcBorders>
              <w:top w:val="nil"/>
              <w:left w:val="nil"/>
              <w:bottom w:val="nil"/>
              <w:right w:val="nil"/>
            </w:tcBorders>
            <w:shd w:val="clear" w:color="auto" w:fill="8DB3E2" w:themeFill="text2" w:themeFillTint="66"/>
          </w:tcPr>
          <w:p w:rsidR="00AF3A95" w:rsidRPr="00AF3A95" w:rsidRDefault="00AF3A95" w:rsidP="00AF3A95">
            <w:pPr>
              <w:rPr>
                <w:rFonts w:ascii="Tw Cen MT" w:eastAsia="Calibri" w:hAnsi="Tw Cen MT"/>
              </w:rPr>
            </w:pPr>
          </w:p>
        </w:tc>
        <w:tc>
          <w:tcPr>
            <w:tcW w:w="429" w:type="dxa"/>
            <w:tcBorders>
              <w:top w:val="nil"/>
              <w:left w:val="nil"/>
              <w:bottom w:val="nil"/>
              <w:right w:val="nil"/>
            </w:tcBorders>
          </w:tcPr>
          <w:p w:rsidR="00AF3A95" w:rsidRPr="00AF3A95" w:rsidRDefault="00AF3A95" w:rsidP="00AF3A95">
            <w:pPr>
              <w:rPr>
                <w:rFonts w:ascii="Tw Cen MT" w:eastAsia="Calibri" w:hAnsi="Tw Cen MT"/>
              </w:rPr>
            </w:pPr>
          </w:p>
        </w:tc>
        <w:tc>
          <w:tcPr>
            <w:tcW w:w="429" w:type="dxa"/>
            <w:tcBorders>
              <w:top w:val="nil"/>
              <w:left w:val="nil"/>
              <w:bottom w:val="nil"/>
              <w:right w:val="nil"/>
            </w:tcBorders>
          </w:tcPr>
          <w:p w:rsidR="00AF3A95" w:rsidRPr="00AF3A95" w:rsidRDefault="00AF3A95" w:rsidP="00AF3A95">
            <w:pPr>
              <w:rPr>
                <w:rFonts w:ascii="Tw Cen MT" w:eastAsia="Calibri" w:hAnsi="Tw Cen MT"/>
              </w:rPr>
            </w:pPr>
          </w:p>
        </w:tc>
        <w:tc>
          <w:tcPr>
            <w:tcW w:w="429" w:type="dxa"/>
            <w:tcBorders>
              <w:top w:val="nil"/>
              <w:left w:val="nil"/>
              <w:bottom w:val="nil"/>
              <w:right w:val="nil"/>
            </w:tcBorders>
          </w:tcPr>
          <w:p w:rsidR="00AF3A95" w:rsidRPr="00AF3A95" w:rsidRDefault="00AF3A95" w:rsidP="00AF3A95">
            <w:pPr>
              <w:rPr>
                <w:rFonts w:ascii="Tw Cen MT" w:eastAsia="Calibri" w:hAnsi="Tw Cen MT"/>
              </w:rPr>
            </w:pPr>
          </w:p>
        </w:tc>
      </w:tr>
      <w:tr w:rsidR="00AF3A95" w:rsidRPr="00AF3A95" w:rsidTr="00214FFE">
        <w:trPr>
          <w:trHeight w:val="151"/>
        </w:trPr>
        <w:tc>
          <w:tcPr>
            <w:tcW w:w="3226" w:type="dxa"/>
            <w:tcBorders>
              <w:top w:val="nil"/>
              <w:left w:val="nil"/>
              <w:bottom w:val="nil"/>
              <w:right w:val="nil"/>
            </w:tcBorders>
          </w:tcPr>
          <w:p w:rsidR="00AF3A95" w:rsidRPr="00AF3A95" w:rsidRDefault="00AF3A95" w:rsidP="00AF3A95">
            <w:pPr>
              <w:rPr>
                <w:rFonts w:ascii="Tw Cen MT" w:eastAsia="Calibri" w:hAnsi="Tw Cen MT"/>
              </w:rPr>
            </w:pPr>
            <w:r w:rsidRPr="00AF3A95">
              <w:rPr>
                <w:rFonts w:ascii="Tw Cen MT" w:eastAsia="Calibri" w:hAnsi="Tw Cen MT"/>
              </w:rPr>
              <w:t>Weber River</w:t>
            </w:r>
          </w:p>
        </w:tc>
        <w:tc>
          <w:tcPr>
            <w:tcW w:w="427" w:type="dxa"/>
            <w:tcBorders>
              <w:top w:val="nil"/>
              <w:left w:val="nil"/>
              <w:bottom w:val="nil"/>
              <w:right w:val="nil"/>
            </w:tcBorders>
          </w:tcPr>
          <w:p w:rsidR="00AF3A95" w:rsidRPr="00AF3A95" w:rsidRDefault="00AF3A95" w:rsidP="00AF3A95">
            <w:pPr>
              <w:rPr>
                <w:rFonts w:ascii="Tw Cen MT" w:eastAsia="Calibri" w:hAnsi="Tw Cen MT"/>
              </w:rPr>
            </w:pPr>
          </w:p>
        </w:tc>
        <w:tc>
          <w:tcPr>
            <w:tcW w:w="429" w:type="dxa"/>
            <w:tcBorders>
              <w:top w:val="nil"/>
              <w:left w:val="nil"/>
              <w:bottom w:val="nil"/>
              <w:right w:val="nil"/>
            </w:tcBorders>
          </w:tcPr>
          <w:p w:rsidR="00AF3A95" w:rsidRPr="00AF3A95" w:rsidRDefault="00AF3A95" w:rsidP="00AF3A95">
            <w:pPr>
              <w:rPr>
                <w:rFonts w:ascii="Tw Cen MT" w:eastAsia="Calibri" w:hAnsi="Tw Cen MT"/>
              </w:rPr>
            </w:pPr>
          </w:p>
        </w:tc>
        <w:tc>
          <w:tcPr>
            <w:tcW w:w="429" w:type="dxa"/>
            <w:tcBorders>
              <w:top w:val="nil"/>
              <w:left w:val="nil"/>
              <w:bottom w:val="nil"/>
              <w:right w:val="nil"/>
            </w:tcBorders>
          </w:tcPr>
          <w:p w:rsidR="00AF3A95" w:rsidRPr="00AF3A95" w:rsidRDefault="00AF3A95" w:rsidP="00AF3A95">
            <w:pPr>
              <w:rPr>
                <w:rFonts w:ascii="Tw Cen MT" w:eastAsia="Calibri" w:hAnsi="Tw Cen MT"/>
              </w:rPr>
            </w:pPr>
          </w:p>
        </w:tc>
        <w:tc>
          <w:tcPr>
            <w:tcW w:w="429" w:type="dxa"/>
            <w:tcBorders>
              <w:top w:val="nil"/>
              <w:left w:val="nil"/>
              <w:bottom w:val="nil"/>
              <w:right w:val="nil"/>
            </w:tcBorders>
          </w:tcPr>
          <w:p w:rsidR="00AF3A95" w:rsidRPr="00AF3A95" w:rsidRDefault="00AF3A95" w:rsidP="00AF3A95">
            <w:pPr>
              <w:rPr>
                <w:rFonts w:ascii="Tw Cen MT" w:eastAsia="Calibri" w:hAnsi="Tw Cen MT"/>
              </w:rPr>
            </w:pPr>
          </w:p>
        </w:tc>
        <w:tc>
          <w:tcPr>
            <w:tcW w:w="429" w:type="dxa"/>
            <w:tcBorders>
              <w:top w:val="nil"/>
              <w:left w:val="nil"/>
              <w:bottom w:val="nil"/>
              <w:right w:val="nil"/>
            </w:tcBorders>
          </w:tcPr>
          <w:p w:rsidR="00AF3A95" w:rsidRPr="00AF3A95" w:rsidRDefault="00AF3A95" w:rsidP="00AF3A95">
            <w:pPr>
              <w:rPr>
                <w:rFonts w:ascii="Tw Cen MT" w:eastAsia="Calibri" w:hAnsi="Tw Cen MT"/>
              </w:rPr>
            </w:pPr>
          </w:p>
        </w:tc>
        <w:tc>
          <w:tcPr>
            <w:tcW w:w="429" w:type="dxa"/>
            <w:tcBorders>
              <w:top w:val="nil"/>
              <w:left w:val="nil"/>
              <w:bottom w:val="nil"/>
              <w:right w:val="nil"/>
            </w:tcBorders>
          </w:tcPr>
          <w:p w:rsidR="00AF3A95" w:rsidRPr="00AF3A95" w:rsidRDefault="00AF3A95" w:rsidP="00AF3A95">
            <w:pPr>
              <w:rPr>
                <w:rFonts w:ascii="Tw Cen MT" w:eastAsia="Calibri" w:hAnsi="Tw Cen MT"/>
              </w:rPr>
            </w:pPr>
          </w:p>
        </w:tc>
        <w:tc>
          <w:tcPr>
            <w:tcW w:w="429" w:type="dxa"/>
            <w:tcBorders>
              <w:top w:val="nil"/>
              <w:left w:val="nil"/>
              <w:bottom w:val="nil"/>
              <w:right w:val="nil"/>
            </w:tcBorders>
          </w:tcPr>
          <w:p w:rsidR="00AF3A95" w:rsidRPr="00AF3A95" w:rsidRDefault="00AF3A95" w:rsidP="00AF3A95">
            <w:pPr>
              <w:rPr>
                <w:rFonts w:ascii="Tw Cen MT" w:eastAsia="Calibri" w:hAnsi="Tw Cen MT"/>
              </w:rPr>
            </w:pPr>
          </w:p>
        </w:tc>
        <w:tc>
          <w:tcPr>
            <w:tcW w:w="429" w:type="dxa"/>
            <w:tcBorders>
              <w:top w:val="nil"/>
              <w:left w:val="nil"/>
              <w:bottom w:val="nil"/>
              <w:right w:val="nil"/>
            </w:tcBorders>
          </w:tcPr>
          <w:p w:rsidR="00AF3A95" w:rsidRPr="00AF3A95" w:rsidRDefault="00AF3A95" w:rsidP="00AF3A95">
            <w:pPr>
              <w:rPr>
                <w:rFonts w:ascii="Tw Cen MT" w:eastAsia="Calibri" w:hAnsi="Tw Cen MT"/>
              </w:rPr>
            </w:pPr>
          </w:p>
        </w:tc>
        <w:tc>
          <w:tcPr>
            <w:tcW w:w="429" w:type="dxa"/>
            <w:tcBorders>
              <w:top w:val="nil"/>
              <w:left w:val="nil"/>
              <w:bottom w:val="nil"/>
              <w:right w:val="nil"/>
            </w:tcBorders>
            <w:shd w:val="clear" w:color="auto" w:fill="1F497D" w:themeFill="text2"/>
          </w:tcPr>
          <w:p w:rsidR="00AF3A95" w:rsidRPr="00AF3A95" w:rsidRDefault="00AF3A95" w:rsidP="00AF3A95">
            <w:pPr>
              <w:rPr>
                <w:rFonts w:ascii="Tw Cen MT" w:eastAsia="Calibri" w:hAnsi="Tw Cen MT"/>
              </w:rPr>
            </w:pPr>
          </w:p>
        </w:tc>
        <w:tc>
          <w:tcPr>
            <w:tcW w:w="429" w:type="dxa"/>
            <w:tcBorders>
              <w:top w:val="nil"/>
              <w:left w:val="nil"/>
              <w:bottom w:val="nil"/>
              <w:right w:val="nil"/>
            </w:tcBorders>
          </w:tcPr>
          <w:p w:rsidR="00AF3A95" w:rsidRPr="00AF3A95" w:rsidRDefault="00AF3A95" w:rsidP="00AF3A95">
            <w:pPr>
              <w:rPr>
                <w:rFonts w:ascii="Tw Cen MT" w:eastAsia="Calibri" w:hAnsi="Tw Cen MT"/>
              </w:rPr>
            </w:pPr>
          </w:p>
        </w:tc>
        <w:tc>
          <w:tcPr>
            <w:tcW w:w="429" w:type="dxa"/>
            <w:tcBorders>
              <w:top w:val="nil"/>
              <w:left w:val="nil"/>
              <w:bottom w:val="nil"/>
              <w:right w:val="nil"/>
            </w:tcBorders>
          </w:tcPr>
          <w:p w:rsidR="00AF3A95" w:rsidRPr="00AF3A95" w:rsidRDefault="00AF3A95" w:rsidP="00AF3A95">
            <w:pPr>
              <w:rPr>
                <w:rFonts w:ascii="Tw Cen MT" w:eastAsia="Calibri" w:hAnsi="Tw Cen MT"/>
              </w:rPr>
            </w:pPr>
          </w:p>
        </w:tc>
        <w:tc>
          <w:tcPr>
            <w:tcW w:w="429" w:type="dxa"/>
            <w:tcBorders>
              <w:top w:val="nil"/>
              <w:left w:val="nil"/>
              <w:bottom w:val="nil"/>
              <w:right w:val="nil"/>
            </w:tcBorders>
          </w:tcPr>
          <w:p w:rsidR="00AF3A95" w:rsidRPr="00AF3A95" w:rsidRDefault="00AF3A95" w:rsidP="00AF3A95">
            <w:pPr>
              <w:rPr>
                <w:rFonts w:ascii="Tw Cen MT" w:eastAsia="Calibri" w:hAnsi="Tw Cen MT"/>
              </w:rPr>
            </w:pPr>
          </w:p>
        </w:tc>
        <w:tc>
          <w:tcPr>
            <w:tcW w:w="429" w:type="dxa"/>
            <w:tcBorders>
              <w:top w:val="nil"/>
              <w:left w:val="nil"/>
              <w:bottom w:val="nil"/>
              <w:right w:val="nil"/>
            </w:tcBorders>
          </w:tcPr>
          <w:p w:rsidR="00AF3A95" w:rsidRPr="00AF3A95" w:rsidRDefault="00AF3A95" w:rsidP="00AF3A95">
            <w:pPr>
              <w:rPr>
                <w:rFonts w:ascii="Tw Cen MT" w:eastAsia="Calibri" w:hAnsi="Tw Cen MT"/>
              </w:rPr>
            </w:pPr>
          </w:p>
        </w:tc>
        <w:tc>
          <w:tcPr>
            <w:tcW w:w="857" w:type="dxa"/>
            <w:gridSpan w:val="2"/>
            <w:tcBorders>
              <w:top w:val="nil"/>
              <w:left w:val="nil"/>
              <w:bottom w:val="nil"/>
              <w:right w:val="nil"/>
            </w:tcBorders>
            <w:shd w:val="clear" w:color="auto" w:fill="8DB3E2" w:themeFill="text2" w:themeFillTint="66"/>
          </w:tcPr>
          <w:p w:rsidR="00AF3A95" w:rsidRPr="00AF3A95" w:rsidRDefault="00AF3A95" w:rsidP="00AF3A95">
            <w:pPr>
              <w:rPr>
                <w:rFonts w:ascii="Tw Cen MT" w:eastAsia="Calibri" w:hAnsi="Tw Cen MT"/>
              </w:rPr>
            </w:pPr>
          </w:p>
        </w:tc>
        <w:tc>
          <w:tcPr>
            <w:tcW w:w="429" w:type="dxa"/>
            <w:tcBorders>
              <w:top w:val="nil"/>
              <w:left w:val="nil"/>
              <w:bottom w:val="nil"/>
              <w:right w:val="nil"/>
            </w:tcBorders>
          </w:tcPr>
          <w:p w:rsidR="00AF3A95" w:rsidRPr="00AF3A95" w:rsidRDefault="00AF3A95" w:rsidP="00AF3A95">
            <w:pPr>
              <w:rPr>
                <w:rFonts w:ascii="Tw Cen MT" w:eastAsia="Calibri" w:hAnsi="Tw Cen MT"/>
              </w:rPr>
            </w:pPr>
          </w:p>
        </w:tc>
      </w:tr>
      <w:tr w:rsidR="00AF3A95" w:rsidRPr="00AF3A95" w:rsidTr="00214FFE">
        <w:trPr>
          <w:trHeight w:val="151"/>
        </w:trPr>
        <w:tc>
          <w:tcPr>
            <w:tcW w:w="3226" w:type="dxa"/>
            <w:tcBorders>
              <w:top w:val="nil"/>
              <w:left w:val="nil"/>
              <w:bottom w:val="single" w:sz="4" w:space="0" w:color="auto"/>
              <w:right w:val="nil"/>
            </w:tcBorders>
          </w:tcPr>
          <w:p w:rsidR="00AF3A95" w:rsidRPr="00AF3A95" w:rsidRDefault="00AF3A95" w:rsidP="00AF3A95">
            <w:pPr>
              <w:rPr>
                <w:rFonts w:ascii="Tw Cen MT" w:eastAsia="Calibri" w:hAnsi="Tw Cen MT"/>
              </w:rPr>
            </w:pPr>
            <w:r w:rsidRPr="00AF3A95">
              <w:rPr>
                <w:rFonts w:ascii="Tw Cen MT" w:eastAsia="Calibri" w:hAnsi="Tw Cen MT"/>
              </w:rPr>
              <w:t>Uinta Basin</w:t>
            </w:r>
          </w:p>
        </w:tc>
        <w:tc>
          <w:tcPr>
            <w:tcW w:w="427" w:type="dxa"/>
            <w:tcBorders>
              <w:top w:val="nil"/>
              <w:left w:val="nil"/>
              <w:bottom w:val="single" w:sz="4" w:space="0" w:color="auto"/>
              <w:right w:val="nil"/>
            </w:tcBorders>
          </w:tcPr>
          <w:p w:rsidR="00AF3A95" w:rsidRPr="00AF3A95" w:rsidRDefault="00AF3A95" w:rsidP="00AF3A95">
            <w:pPr>
              <w:rPr>
                <w:rFonts w:ascii="Tw Cen MT" w:eastAsia="Calibri" w:hAnsi="Tw Cen MT"/>
              </w:rPr>
            </w:pPr>
          </w:p>
        </w:tc>
        <w:tc>
          <w:tcPr>
            <w:tcW w:w="429" w:type="dxa"/>
            <w:tcBorders>
              <w:top w:val="nil"/>
              <w:left w:val="nil"/>
              <w:bottom w:val="single" w:sz="4" w:space="0" w:color="auto"/>
              <w:right w:val="nil"/>
            </w:tcBorders>
          </w:tcPr>
          <w:p w:rsidR="00AF3A95" w:rsidRPr="00AF3A95" w:rsidRDefault="00AF3A95" w:rsidP="00AF3A95">
            <w:pPr>
              <w:rPr>
                <w:rFonts w:ascii="Tw Cen MT" w:eastAsia="Calibri" w:hAnsi="Tw Cen MT"/>
              </w:rPr>
            </w:pPr>
          </w:p>
        </w:tc>
        <w:tc>
          <w:tcPr>
            <w:tcW w:w="429" w:type="dxa"/>
            <w:tcBorders>
              <w:top w:val="nil"/>
              <w:left w:val="nil"/>
              <w:bottom w:val="single" w:sz="4" w:space="0" w:color="auto"/>
              <w:right w:val="nil"/>
            </w:tcBorders>
          </w:tcPr>
          <w:p w:rsidR="00AF3A95" w:rsidRPr="00AF3A95" w:rsidRDefault="00AF3A95" w:rsidP="00AF3A95">
            <w:pPr>
              <w:rPr>
                <w:rFonts w:ascii="Tw Cen MT" w:eastAsia="Calibri" w:hAnsi="Tw Cen MT"/>
              </w:rPr>
            </w:pPr>
          </w:p>
        </w:tc>
        <w:tc>
          <w:tcPr>
            <w:tcW w:w="857" w:type="dxa"/>
            <w:gridSpan w:val="2"/>
            <w:tcBorders>
              <w:top w:val="nil"/>
              <w:left w:val="nil"/>
              <w:bottom w:val="single" w:sz="4" w:space="0" w:color="auto"/>
              <w:right w:val="nil"/>
            </w:tcBorders>
            <w:shd w:val="clear" w:color="auto" w:fill="8DB3E2" w:themeFill="text2" w:themeFillTint="66"/>
          </w:tcPr>
          <w:p w:rsidR="00AF3A95" w:rsidRPr="00AF3A95" w:rsidRDefault="00AF3A95" w:rsidP="00AF3A95">
            <w:pPr>
              <w:rPr>
                <w:rFonts w:ascii="Tw Cen MT" w:eastAsia="Calibri" w:hAnsi="Tw Cen MT"/>
              </w:rPr>
            </w:pPr>
          </w:p>
        </w:tc>
        <w:tc>
          <w:tcPr>
            <w:tcW w:w="429" w:type="dxa"/>
            <w:tcBorders>
              <w:top w:val="nil"/>
              <w:left w:val="nil"/>
              <w:bottom w:val="single" w:sz="4" w:space="0" w:color="auto"/>
              <w:right w:val="nil"/>
            </w:tcBorders>
          </w:tcPr>
          <w:p w:rsidR="00AF3A95" w:rsidRPr="00AF3A95" w:rsidRDefault="00AF3A95" w:rsidP="00AF3A95">
            <w:pPr>
              <w:rPr>
                <w:rFonts w:ascii="Tw Cen MT" w:eastAsia="Calibri" w:hAnsi="Tw Cen MT"/>
              </w:rPr>
            </w:pPr>
          </w:p>
        </w:tc>
        <w:tc>
          <w:tcPr>
            <w:tcW w:w="429" w:type="dxa"/>
            <w:tcBorders>
              <w:top w:val="nil"/>
              <w:left w:val="nil"/>
              <w:bottom w:val="single" w:sz="4" w:space="0" w:color="auto"/>
              <w:right w:val="nil"/>
            </w:tcBorders>
          </w:tcPr>
          <w:p w:rsidR="00AF3A95" w:rsidRPr="00AF3A95" w:rsidRDefault="00AF3A95" w:rsidP="00AF3A95">
            <w:pPr>
              <w:rPr>
                <w:rFonts w:ascii="Tw Cen MT" w:eastAsia="Calibri" w:hAnsi="Tw Cen MT"/>
              </w:rPr>
            </w:pPr>
          </w:p>
        </w:tc>
        <w:tc>
          <w:tcPr>
            <w:tcW w:w="429" w:type="dxa"/>
            <w:tcBorders>
              <w:top w:val="nil"/>
              <w:left w:val="nil"/>
              <w:bottom w:val="single" w:sz="4" w:space="0" w:color="auto"/>
              <w:right w:val="nil"/>
            </w:tcBorders>
          </w:tcPr>
          <w:p w:rsidR="00AF3A95" w:rsidRPr="00AF3A95" w:rsidRDefault="00AF3A95" w:rsidP="00AF3A95">
            <w:pPr>
              <w:rPr>
                <w:rFonts w:ascii="Tw Cen MT" w:eastAsia="Calibri" w:hAnsi="Tw Cen MT"/>
              </w:rPr>
            </w:pPr>
          </w:p>
        </w:tc>
        <w:tc>
          <w:tcPr>
            <w:tcW w:w="429" w:type="dxa"/>
            <w:tcBorders>
              <w:top w:val="nil"/>
              <w:left w:val="nil"/>
              <w:bottom w:val="single" w:sz="4" w:space="0" w:color="auto"/>
              <w:right w:val="nil"/>
            </w:tcBorders>
          </w:tcPr>
          <w:p w:rsidR="00AF3A95" w:rsidRPr="00AF3A95" w:rsidRDefault="00AF3A95" w:rsidP="00AF3A95">
            <w:pPr>
              <w:rPr>
                <w:rFonts w:ascii="Tw Cen MT" w:eastAsia="Calibri" w:hAnsi="Tw Cen MT"/>
              </w:rPr>
            </w:pPr>
          </w:p>
        </w:tc>
        <w:tc>
          <w:tcPr>
            <w:tcW w:w="429" w:type="dxa"/>
            <w:tcBorders>
              <w:top w:val="nil"/>
              <w:left w:val="nil"/>
              <w:bottom w:val="single" w:sz="4" w:space="0" w:color="auto"/>
              <w:right w:val="nil"/>
            </w:tcBorders>
          </w:tcPr>
          <w:p w:rsidR="00AF3A95" w:rsidRPr="00AF3A95" w:rsidRDefault="00AF3A95" w:rsidP="00AF3A95">
            <w:pPr>
              <w:rPr>
                <w:rFonts w:ascii="Tw Cen MT" w:eastAsia="Calibri" w:hAnsi="Tw Cen MT"/>
              </w:rPr>
            </w:pPr>
          </w:p>
        </w:tc>
        <w:tc>
          <w:tcPr>
            <w:tcW w:w="429" w:type="dxa"/>
            <w:tcBorders>
              <w:top w:val="nil"/>
              <w:left w:val="nil"/>
              <w:bottom w:val="single" w:sz="4" w:space="0" w:color="auto"/>
              <w:right w:val="nil"/>
            </w:tcBorders>
            <w:shd w:val="clear" w:color="auto" w:fill="1F497D" w:themeFill="text2"/>
          </w:tcPr>
          <w:p w:rsidR="00AF3A95" w:rsidRPr="00AF3A95" w:rsidRDefault="00AF3A95" w:rsidP="00AF3A95">
            <w:pPr>
              <w:rPr>
                <w:rFonts w:ascii="Tw Cen MT" w:eastAsia="Calibri" w:hAnsi="Tw Cen MT"/>
              </w:rPr>
            </w:pPr>
          </w:p>
        </w:tc>
        <w:tc>
          <w:tcPr>
            <w:tcW w:w="429" w:type="dxa"/>
            <w:tcBorders>
              <w:top w:val="nil"/>
              <w:left w:val="nil"/>
              <w:bottom w:val="single" w:sz="4" w:space="0" w:color="auto"/>
              <w:right w:val="nil"/>
            </w:tcBorders>
          </w:tcPr>
          <w:p w:rsidR="00AF3A95" w:rsidRPr="00AF3A95" w:rsidRDefault="00AF3A95" w:rsidP="00AF3A95">
            <w:pPr>
              <w:rPr>
                <w:rFonts w:ascii="Tw Cen MT" w:eastAsia="Calibri" w:hAnsi="Tw Cen MT"/>
              </w:rPr>
            </w:pPr>
          </w:p>
        </w:tc>
        <w:tc>
          <w:tcPr>
            <w:tcW w:w="429" w:type="dxa"/>
            <w:tcBorders>
              <w:top w:val="nil"/>
              <w:left w:val="nil"/>
              <w:bottom w:val="single" w:sz="4" w:space="0" w:color="auto"/>
              <w:right w:val="nil"/>
            </w:tcBorders>
          </w:tcPr>
          <w:p w:rsidR="00AF3A95" w:rsidRPr="00AF3A95" w:rsidRDefault="00AF3A95" w:rsidP="00AF3A95">
            <w:pPr>
              <w:rPr>
                <w:rFonts w:ascii="Tw Cen MT" w:eastAsia="Calibri" w:hAnsi="Tw Cen MT"/>
              </w:rPr>
            </w:pPr>
          </w:p>
        </w:tc>
        <w:tc>
          <w:tcPr>
            <w:tcW w:w="429" w:type="dxa"/>
            <w:tcBorders>
              <w:top w:val="nil"/>
              <w:left w:val="nil"/>
              <w:bottom w:val="single" w:sz="4" w:space="0" w:color="auto"/>
              <w:right w:val="nil"/>
            </w:tcBorders>
          </w:tcPr>
          <w:p w:rsidR="00AF3A95" w:rsidRPr="00AF3A95" w:rsidRDefault="00AF3A95" w:rsidP="00AF3A95">
            <w:pPr>
              <w:rPr>
                <w:rFonts w:ascii="Tw Cen MT" w:eastAsia="Calibri" w:hAnsi="Tw Cen MT"/>
              </w:rPr>
            </w:pPr>
          </w:p>
        </w:tc>
        <w:tc>
          <w:tcPr>
            <w:tcW w:w="429" w:type="dxa"/>
            <w:tcBorders>
              <w:top w:val="nil"/>
              <w:left w:val="nil"/>
              <w:bottom w:val="single" w:sz="4" w:space="0" w:color="auto"/>
              <w:right w:val="nil"/>
            </w:tcBorders>
          </w:tcPr>
          <w:p w:rsidR="00AF3A95" w:rsidRPr="00AF3A95" w:rsidRDefault="00AF3A95" w:rsidP="00AF3A95">
            <w:pPr>
              <w:rPr>
                <w:rFonts w:ascii="Tw Cen MT" w:eastAsia="Calibri" w:hAnsi="Tw Cen MT"/>
              </w:rPr>
            </w:pPr>
          </w:p>
        </w:tc>
        <w:tc>
          <w:tcPr>
            <w:tcW w:w="429" w:type="dxa"/>
            <w:tcBorders>
              <w:top w:val="nil"/>
              <w:left w:val="nil"/>
              <w:bottom w:val="single" w:sz="4" w:space="0" w:color="auto"/>
              <w:right w:val="nil"/>
            </w:tcBorders>
            <w:shd w:val="clear" w:color="auto" w:fill="8DB3E2" w:themeFill="text2" w:themeFillTint="66"/>
          </w:tcPr>
          <w:p w:rsidR="00AF3A95" w:rsidRPr="00AF3A95" w:rsidRDefault="00AF3A95" w:rsidP="00AF3A95">
            <w:pPr>
              <w:rPr>
                <w:rFonts w:ascii="Tw Cen MT" w:eastAsia="Calibri" w:hAnsi="Tw Cen MT"/>
              </w:rPr>
            </w:pPr>
          </w:p>
        </w:tc>
      </w:tr>
      <w:tr w:rsidR="00AF3A95" w:rsidRPr="00AF3A95" w:rsidTr="00214FFE">
        <w:trPr>
          <w:trHeight w:val="151"/>
        </w:trPr>
        <w:tc>
          <w:tcPr>
            <w:tcW w:w="3226" w:type="dxa"/>
            <w:tcBorders>
              <w:top w:val="single" w:sz="4" w:space="0" w:color="auto"/>
              <w:left w:val="nil"/>
              <w:bottom w:val="nil"/>
              <w:right w:val="nil"/>
            </w:tcBorders>
          </w:tcPr>
          <w:p w:rsidR="00AF3A95" w:rsidRPr="00AF3A95" w:rsidRDefault="00AF3A95" w:rsidP="00AF3A95">
            <w:pPr>
              <w:rPr>
                <w:rFonts w:ascii="Tw Cen MT" w:eastAsia="Calibri" w:hAnsi="Tw Cen MT"/>
                <w:b/>
              </w:rPr>
            </w:pPr>
          </w:p>
        </w:tc>
        <w:tc>
          <w:tcPr>
            <w:tcW w:w="427" w:type="dxa"/>
            <w:tcBorders>
              <w:top w:val="single" w:sz="4" w:space="0" w:color="auto"/>
              <w:left w:val="nil"/>
              <w:bottom w:val="nil"/>
              <w:right w:val="nil"/>
            </w:tcBorders>
          </w:tcPr>
          <w:p w:rsidR="00AF3A95" w:rsidRPr="00AF3A95" w:rsidRDefault="00AF3A95" w:rsidP="00AF3A95">
            <w:pPr>
              <w:rPr>
                <w:rFonts w:ascii="Tw Cen MT" w:eastAsia="Calibri" w:hAnsi="Tw Cen MT"/>
              </w:rPr>
            </w:pPr>
          </w:p>
        </w:tc>
        <w:tc>
          <w:tcPr>
            <w:tcW w:w="429" w:type="dxa"/>
            <w:tcBorders>
              <w:top w:val="single" w:sz="4" w:space="0" w:color="auto"/>
              <w:left w:val="nil"/>
              <w:bottom w:val="nil"/>
              <w:right w:val="nil"/>
            </w:tcBorders>
          </w:tcPr>
          <w:p w:rsidR="00AF3A95" w:rsidRPr="00AF3A95" w:rsidRDefault="00AF3A95" w:rsidP="00AF3A95">
            <w:pPr>
              <w:rPr>
                <w:rFonts w:ascii="Tw Cen MT" w:eastAsia="Calibri" w:hAnsi="Tw Cen MT"/>
              </w:rPr>
            </w:pPr>
          </w:p>
        </w:tc>
        <w:tc>
          <w:tcPr>
            <w:tcW w:w="429" w:type="dxa"/>
            <w:tcBorders>
              <w:top w:val="single" w:sz="4" w:space="0" w:color="auto"/>
              <w:left w:val="nil"/>
              <w:bottom w:val="nil"/>
              <w:right w:val="nil"/>
            </w:tcBorders>
          </w:tcPr>
          <w:p w:rsidR="00AF3A95" w:rsidRPr="00AF3A95" w:rsidRDefault="00AF3A95" w:rsidP="00AF3A95">
            <w:pPr>
              <w:rPr>
                <w:rFonts w:ascii="Tw Cen MT" w:eastAsia="Calibri" w:hAnsi="Tw Cen MT"/>
              </w:rPr>
            </w:pPr>
          </w:p>
        </w:tc>
        <w:tc>
          <w:tcPr>
            <w:tcW w:w="429" w:type="dxa"/>
            <w:tcBorders>
              <w:top w:val="single" w:sz="4" w:space="0" w:color="auto"/>
              <w:left w:val="nil"/>
              <w:bottom w:val="nil"/>
              <w:right w:val="nil"/>
            </w:tcBorders>
          </w:tcPr>
          <w:p w:rsidR="00AF3A95" w:rsidRPr="00AF3A95" w:rsidRDefault="00AF3A95" w:rsidP="00AF3A95">
            <w:pPr>
              <w:rPr>
                <w:rFonts w:ascii="Tw Cen MT" w:eastAsia="Calibri" w:hAnsi="Tw Cen MT"/>
              </w:rPr>
            </w:pPr>
          </w:p>
        </w:tc>
        <w:tc>
          <w:tcPr>
            <w:tcW w:w="429" w:type="dxa"/>
            <w:tcBorders>
              <w:top w:val="single" w:sz="4" w:space="0" w:color="auto"/>
              <w:left w:val="nil"/>
              <w:bottom w:val="nil"/>
              <w:right w:val="nil"/>
            </w:tcBorders>
          </w:tcPr>
          <w:p w:rsidR="00AF3A95" w:rsidRPr="00AF3A95" w:rsidRDefault="00AF3A95" w:rsidP="00AF3A95">
            <w:pPr>
              <w:rPr>
                <w:rFonts w:ascii="Tw Cen MT" w:eastAsia="Calibri" w:hAnsi="Tw Cen MT"/>
              </w:rPr>
            </w:pPr>
          </w:p>
        </w:tc>
        <w:tc>
          <w:tcPr>
            <w:tcW w:w="429" w:type="dxa"/>
            <w:tcBorders>
              <w:top w:val="single" w:sz="4" w:space="0" w:color="auto"/>
              <w:left w:val="nil"/>
              <w:bottom w:val="nil"/>
              <w:right w:val="nil"/>
            </w:tcBorders>
          </w:tcPr>
          <w:p w:rsidR="00AF3A95" w:rsidRPr="00AF3A95" w:rsidRDefault="00AF3A95" w:rsidP="00AF3A95">
            <w:pPr>
              <w:rPr>
                <w:rFonts w:ascii="Tw Cen MT" w:eastAsia="Calibri" w:hAnsi="Tw Cen MT"/>
              </w:rPr>
            </w:pPr>
          </w:p>
        </w:tc>
        <w:tc>
          <w:tcPr>
            <w:tcW w:w="429" w:type="dxa"/>
            <w:tcBorders>
              <w:top w:val="single" w:sz="4" w:space="0" w:color="auto"/>
              <w:left w:val="nil"/>
              <w:bottom w:val="nil"/>
              <w:right w:val="nil"/>
            </w:tcBorders>
          </w:tcPr>
          <w:p w:rsidR="00AF3A95" w:rsidRPr="00AF3A95" w:rsidRDefault="00AF3A95" w:rsidP="00AF3A95">
            <w:pPr>
              <w:rPr>
                <w:rFonts w:ascii="Tw Cen MT" w:eastAsia="Calibri" w:hAnsi="Tw Cen MT"/>
              </w:rPr>
            </w:pPr>
          </w:p>
        </w:tc>
        <w:tc>
          <w:tcPr>
            <w:tcW w:w="429" w:type="dxa"/>
            <w:tcBorders>
              <w:top w:val="single" w:sz="4" w:space="0" w:color="auto"/>
              <w:left w:val="nil"/>
              <w:bottom w:val="nil"/>
              <w:right w:val="nil"/>
            </w:tcBorders>
          </w:tcPr>
          <w:p w:rsidR="00AF3A95" w:rsidRPr="00AF3A95" w:rsidRDefault="00AF3A95" w:rsidP="00AF3A95">
            <w:pPr>
              <w:rPr>
                <w:rFonts w:ascii="Tw Cen MT" w:eastAsia="Calibri" w:hAnsi="Tw Cen MT"/>
              </w:rPr>
            </w:pPr>
          </w:p>
        </w:tc>
        <w:tc>
          <w:tcPr>
            <w:tcW w:w="429" w:type="dxa"/>
            <w:tcBorders>
              <w:top w:val="single" w:sz="4" w:space="0" w:color="auto"/>
              <w:left w:val="nil"/>
              <w:bottom w:val="nil"/>
              <w:right w:val="nil"/>
            </w:tcBorders>
          </w:tcPr>
          <w:p w:rsidR="00AF3A95" w:rsidRPr="00AF3A95" w:rsidRDefault="00AF3A95" w:rsidP="00AF3A95">
            <w:pPr>
              <w:rPr>
                <w:rFonts w:ascii="Tw Cen MT" w:eastAsia="Calibri" w:hAnsi="Tw Cen MT"/>
              </w:rPr>
            </w:pPr>
          </w:p>
        </w:tc>
        <w:tc>
          <w:tcPr>
            <w:tcW w:w="429" w:type="dxa"/>
            <w:tcBorders>
              <w:top w:val="single" w:sz="4" w:space="0" w:color="auto"/>
              <w:left w:val="nil"/>
              <w:bottom w:val="nil"/>
              <w:right w:val="nil"/>
            </w:tcBorders>
          </w:tcPr>
          <w:p w:rsidR="00AF3A95" w:rsidRPr="00AF3A95" w:rsidRDefault="00AF3A95" w:rsidP="00AF3A95">
            <w:pPr>
              <w:rPr>
                <w:rFonts w:ascii="Tw Cen MT" w:eastAsia="Calibri" w:hAnsi="Tw Cen MT"/>
              </w:rPr>
            </w:pPr>
          </w:p>
        </w:tc>
        <w:tc>
          <w:tcPr>
            <w:tcW w:w="429" w:type="dxa"/>
            <w:tcBorders>
              <w:top w:val="single" w:sz="4" w:space="0" w:color="auto"/>
              <w:left w:val="nil"/>
              <w:bottom w:val="nil"/>
              <w:right w:val="nil"/>
            </w:tcBorders>
          </w:tcPr>
          <w:p w:rsidR="00AF3A95" w:rsidRPr="00AF3A95" w:rsidRDefault="00AF3A95" w:rsidP="00AF3A95">
            <w:pPr>
              <w:rPr>
                <w:rFonts w:ascii="Tw Cen MT" w:eastAsia="Calibri" w:hAnsi="Tw Cen MT"/>
              </w:rPr>
            </w:pPr>
          </w:p>
        </w:tc>
        <w:tc>
          <w:tcPr>
            <w:tcW w:w="429" w:type="dxa"/>
            <w:tcBorders>
              <w:top w:val="single" w:sz="4" w:space="0" w:color="auto"/>
              <w:left w:val="nil"/>
              <w:bottom w:val="nil"/>
              <w:right w:val="nil"/>
            </w:tcBorders>
          </w:tcPr>
          <w:p w:rsidR="00AF3A95" w:rsidRPr="00AF3A95" w:rsidRDefault="00AF3A95" w:rsidP="00AF3A95">
            <w:pPr>
              <w:rPr>
                <w:rFonts w:ascii="Tw Cen MT" w:eastAsia="Calibri" w:hAnsi="Tw Cen MT"/>
              </w:rPr>
            </w:pPr>
          </w:p>
        </w:tc>
        <w:tc>
          <w:tcPr>
            <w:tcW w:w="429" w:type="dxa"/>
            <w:tcBorders>
              <w:top w:val="single" w:sz="4" w:space="0" w:color="auto"/>
              <w:left w:val="nil"/>
              <w:bottom w:val="nil"/>
              <w:right w:val="nil"/>
            </w:tcBorders>
          </w:tcPr>
          <w:p w:rsidR="00AF3A95" w:rsidRPr="00AF3A95" w:rsidRDefault="00AF3A95" w:rsidP="00AF3A95">
            <w:pPr>
              <w:rPr>
                <w:rFonts w:ascii="Tw Cen MT" w:eastAsia="Calibri" w:hAnsi="Tw Cen MT"/>
              </w:rPr>
            </w:pPr>
          </w:p>
        </w:tc>
        <w:tc>
          <w:tcPr>
            <w:tcW w:w="429" w:type="dxa"/>
            <w:tcBorders>
              <w:top w:val="single" w:sz="4" w:space="0" w:color="auto"/>
              <w:left w:val="nil"/>
              <w:bottom w:val="nil"/>
              <w:right w:val="nil"/>
            </w:tcBorders>
          </w:tcPr>
          <w:p w:rsidR="00AF3A95" w:rsidRPr="00AF3A95" w:rsidRDefault="00AF3A95" w:rsidP="00AF3A95">
            <w:pPr>
              <w:rPr>
                <w:rFonts w:ascii="Tw Cen MT" w:eastAsia="Calibri" w:hAnsi="Tw Cen MT"/>
              </w:rPr>
            </w:pPr>
          </w:p>
        </w:tc>
        <w:tc>
          <w:tcPr>
            <w:tcW w:w="429" w:type="dxa"/>
            <w:tcBorders>
              <w:top w:val="single" w:sz="4" w:space="0" w:color="auto"/>
              <w:left w:val="nil"/>
              <w:bottom w:val="nil"/>
              <w:right w:val="nil"/>
            </w:tcBorders>
          </w:tcPr>
          <w:p w:rsidR="00AF3A95" w:rsidRPr="00AF3A95" w:rsidRDefault="00AF3A95" w:rsidP="00AF3A95">
            <w:pPr>
              <w:rPr>
                <w:rFonts w:ascii="Tw Cen MT" w:eastAsia="Calibri" w:hAnsi="Tw Cen MT"/>
              </w:rPr>
            </w:pPr>
          </w:p>
        </w:tc>
        <w:tc>
          <w:tcPr>
            <w:tcW w:w="429" w:type="dxa"/>
            <w:tcBorders>
              <w:top w:val="single" w:sz="4" w:space="0" w:color="auto"/>
              <w:left w:val="nil"/>
              <w:bottom w:val="nil"/>
              <w:right w:val="nil"/>
            </w:tcBorders>
          </w:tcPr>
          <w:p w:rsidR="00AF3A95" w:rsidRPr="00AF3A95" w:rsidRDefault="00AF3A95" w:rsidP="00AF3A95">
            <w:pPr>
              <w:rPr>
                <w:rFonts w:ascii="Tw Cen MT" w:eastAsia="Calibri" w:hAnsi="Tw Cen MT"/>
              </w:rPr>
            </w:pPr>
          </w:p>
        </w:tc>
      </w:tr>
      <w:tr w:rsidR="00AF3A95" w:rsidRPr="00AF3A95" w:rsidTr="00214FFE">
        <w:trPr>
          <w:trHeight w:val="151"/>
        </w:trPr>
        <w:tc>
          <w:tcPr>
            <w:tcW w:w="3226" w:type="dxa"/>
            <w:tcBorders>
              <w:top w:val="nil"/>
              <w:left w:val="nil"/>
              <w:bottom w:val="single" w:sz="4" w:space="0" w:color="auto"/>
              <w:right w:val="nil"/>
            </w:tcBorders>
          </w:tcPr>
          <w:p w:rsidR="00AF3A95" w:rsidRPr="00AF3A95" w:rsidRDefault="00AF3A95" w:rsidP="00AF3A95">
            <w:pPr>
              <w:rPr>
                <w:rFonts w:ascii="Tw Cen MT" w:eastAsia="Calibri" w:hAnsi="Tw Cen MT"/>
                <w:b/>
              </w:rPr>
            </w:pPr>
          </w:p>
        </w:tc>
        <w:tc>
          <w:tcPr>
            <w:tcW w:w="2142" w:type="dxa"/>
            <w:gridSpan w:val="5"/>
            <w:tcBorders>
              <w:top w:val="nil"/>
              <w:left w:val="nil"/>
              <w:bottom w:val="single" w:sz="4" w:space="0" w:color="auto"/>
              <w:right w:val="nil"/>
            </w:tcBorders>
          </w:tcPr>
          <w:p w:rsidR="00AF3A95" w:rsidRPr="00AF3A95" w:rsidRDefault="00AF3A95" w:rsidP="00AF3A95">
            <w:pPr>
              <w:rPr>
                <w:rFonts w:ascii="Tw Cen MT" w:eastAsia="Calibri" w:hAnsi="Tw Cen MT"/>
              </w:rPr>
            </w:pPr>
            <w:r w:rsidRPr="00AF3A95">
              <w:rPr>
                <w:rFonts w:ascii="Tw Cen MT" w:eastAsia="Calibri" w:hAnsi="Tw Cen MT"/>
              </w:rPr>
              <w:t>Targeted</w:t>
            </w:r>
          </w:p>
        </w:tc>
        <w:tc>
          <w:tcPr>
            <w:tcW w:w="857" w:type="dxa"/>
            <w:gridSpan w:val="2"/>
            <w:tcBorders>
              <w:top w:val="nil"/>
              <w:left w:val="nil"/>
              <w:bottom w:val="single" w:sz="4" w:space="0" w:color="auto"/>
              <w:right w:val="nil"/>
            </w:tcBorders>
            <w:shd w:val="clear" w:color="auto" w:fill="8DB3E2" w:themeFill="text2" w:themeFillTint="66"/>
          </w:tcPr>
          <w:p w:rsidR="00AF3A95" w:rsidRPr="00AF3A95" w:rsidRDefault="00AF3A95" w:rsidP="00AF3A95">
            <w:pPr>
              <w:rPr>
                <w:rFonts w:ascii="Tw Cen MT" w:eastAsia="Calibri" w:hAnsi="Tw Cen MT"/>
              </w:rPr>
            </w:pPr>
          </w:p>
        </w:tc>
        <w:tc>
          <w:tcPr>
            <w:tcW w:w="429" w:type="dxa"/>
            <w:tcBorders>
              <w:top w:val="nil"/>
              <w:left w:val="nil"/>
              <w:bottom w:val="single" w:sz="4" w:space="0" w:color="auto"/>
              <w:right w:val="nil"/>
            </w:tcBorders>
          </w:tcPr>
          <w:p w:rsidR="00AF3A95" w:rsidRPr="00AF3A95" w:rsidRDefault="00AF3A95" w:rsidP="00AF3A95">
            <w:pPr>
              <w:rPr>
                <w:rFonts w:ascii="Tw Cen MT" w:eastAsia="Calibri" w:hAnsi="Tw Cen MT"/>
              </w:rPr>
            </w:pPr>
          </w:p>
        </w:tc>
        <w:tc>
          <w:tcPr>
            <w:tcW w:w="2143" w:type="dxa"/>
            <w:gridSpan w:val="5"/>
            <w:tcBorders>
              <w:top w:val="nil"/>
              <w:left w:val="nil"/>
              <w:bottom w:val="single" w:sz="4" w:space="0" w:color="auto"/>
              <w:right w:val="nil"/>
            </w:tcBorders>
          </w:tcPr>
          <w:p w:rsidR="00AF3A95" w:rsidRPr="00AF3A95" w:rsidRDefault="00AF3A95" w:rsidP="00AF3A95">
            <w:pPr>
              <w:rPr>
                <w:rFonts w:ascii="Tw Cen MT" w:eastAsia="Calibri" w:hAnsi="Tw Cen MT"/>
              </w:rPr>
            </w:pPr>
            <w:r w:rsidRPr="00AF3A95">
              <w:rPr>
                <w:rFonts w:ascii="Tw Cen MT" w:eastAsia="Calibri" w:hAnsi="Tw Cen MT"/>
              </w:rPr>
              <w:t>Probabilistic</w:t>
            </w:r>
          </w:p>
        </w:tc>
        <w:tc>
          <w:tcPr>
            <w:tcW w:w="429" w:type="dxa"/>
            <w:tcBorders>
              <w:top w:val="nil"/>
              <w:left w:val="nil"/>
              <w:bottom w:val="single" w:sz="4" w:space="0" w:color="auto"/>
              <w:right w:val="nil"/>
            </w:tcBorders>
            <w:shd w:val="clear" w:color="auto" w:fill="1F497D" w:themeFill="text2"/>
          </w:tcPr>
          <w:p w:rsidR="00AF3A95" w:rsidRPr="00AF3A95" w:rsidRDefault="00AF3A95" w:rsidP="00AF3A95">
            <w:pPr>
              <w:rPr>
                <w:rFonts w:ascii="Tw Cen MT" w:eastAsia="Calibri" w:hAnsi="Tw Cen MT"/>
              </w:rPr>
            </w:pPr>
          </w:p>
        </w:tc>
        <w:tc>
          <w:tcPr>
            <w:tcW w:w="429" w:type="dxa"/>
            <w:tcBorders>
              <w:top w:val="nil"/>
              <w:left w:val="nil"/>
              <w:bottom w:val="single" w:sz="4" w:space="0" w:color="auto"/>
              <w:right w:val="nil"/>
            </w:tcBorders>
            <w:shd w:val="clear" w:color="auto" w:fill="1F497D" w:themeFill="text2"/>
          </w:tcPr>
          <w:p w:rsidR="00AF3A95" w:rsidRPr="00AF3A95" w:rsidRDefault="00AF3A95" w:rsidP="00AF3A95">
            <w:pPr>
              <w:rPr>
                <w:rFonts w:ascii="Tw Cen MT" w:eastAsia="Calibri" w:hAnsi="Tw Cen MT"/>
              </w:rPr>
            </w:pPr>
          </w:p>
        </w:tc>
        <w:tc>
          <w:tcPr>
            <w:tcW w:w="429" w:type="dxa"/>
            <w:tcBorders>
              <w:top w:val="nil"/>
              <w:left w:val="nil"/>
              <w:bottom w:val="single" w:sz="4" w:space="0" w:color="auto"/>
              <w:right w:val="nil"/>
            </w:tcBorders>
          </w:tcPr>
          <w:p w:rsidR="00AF3A95" w:rsidRPr="00AF3A95" w:rsidRDefault="00AF3A95" w:rsidP="00AF3A95">
            <w:pPr>
              <w:rPr>
                <w:rFonts w:ascii="Tw Cen MT" w:eastAsia="Calibri" w:hAnsi="Tw Cen MT"/>
              </w:rPr>
            </w:pPr>
          </w:p>
        </w:tc>
      </w:tr>
    </w:tbl>
    <w:p w:rsidR="00AF3A95" w:rsidRPr="00AF3A95" w:rsidRDefault="00AF3A95" w:rsidP="00AF3A95">
      <w:pPr>
        <w:spacing w:after="180"/>
        <w:rPr>
          <w:rFonts w:ascii="Tw Cen MT" w:eastAsia="Tw Cen MT" w:hAnsi="Tw Cen MT" w:cs="Times New Roman"/>
          <w:kern w:val="24"/>
          <w:lang w:eastAsia="ja-JP"/>
          <w14:ligatures w14:val="standardContextual"/>
        </w:rPr>
      </w:pPr>
    </w:p>
    <w:p w:rsidR="00AF3A95" w:rsidRPr="00AF3A95" w:rsidRDefault="00AF3A95" w:rsidP="00AF3A95">
      <w:pPr>
        <w:spacing w:after="180"/>
        <w:rPr>
          <w:rFonts w:ascii="Tw Cen MT" w:eastAsia="Tw Cen MT" w:hAnsi="Tw Cen MT" w:cs="Times New Roman"/>
          <w:kern w:val="24"/>
          <w:lang w:eastAsia="ja-JP"/>
          <w14:ligatures w14:val="standardContextual"/>
        </w:rPr>
      </w:pPr>
      <w:r w:rsidRPr="00AF3A95">
        <w:rPr>
          <w:rFonts w:ascii="Tw Cen MT" w:eastAsia="Tw Cen MT" w:hAnsi="Tw Cen MT" w:cs="Times New Roman"/>
          <w:kern w:val="24"/>
          <w:lang w:eastAsia="ja-JP"/>
          <w14:ligatures w14:val="standardContextual"/>
        </w:rPr>
        <w:t>Integrating the proposed tiered monitoring framework into current division and programmatic needs and constraints requires targeted and programmatic monitoring efforts to follow the probabilistic surveys (1–2 years later) and focus on ongoing TMDL needs around the state until the initial round of probabilistic surveys is assessed.</w:t>
      </w:r>
    </w:p>
    <w:p w:rsidR="006B5597" w:rsidRDefault="006B5597"/>
    <w:sectPr w:rsidR="006B559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0A5" w:rsidRDefault="006830A5" w:rsidP="006830A5">
      <w:pPr>
        <w:spacing w:after="0" w:line="240" w:lineRule="auto"/>
      </w:pPr>
      <w:r>
        <w:separator/>
      </w:r>
    </w:p>
  </w:endnote>
  <w:endnote w:type="continuationSeparator" w:id="0">
    <w:p w:rsidR="006830A5" w:rsidRDefault="006830A5" w:rsidP="00683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0A5" w:rsidRDefault="006830A5" w:rsidP="006830A5">
      <w:pPr>
        <w:spacing w:after="0" w:line="240" w:lineRule="auto"/>
      </w:pPr>
      <w:r>
        <w:separator/>
      </w:r>
    </w:p>
  </w:footnote>
  <w:footnote w:type="continuationSeparator" w:id="0">
    <w:p w:rsidR="006830A5" w:rsidRDefault="006830A5" w:rsidP="006830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0A5" w:rsidRDefault="006830A5" w:rsidP="006830A5">
    <w:pPr>
      <w:pStyle w:val="Header"/>
      <w:jc w:val="right"/>
    </w:pPr>
    <w:r>
      <w:t>Version 1.0</w:t>
    </w:r>
  </w:p>
  <w:p w:rsidR="006830A5" w:rsidRDefault="006830A5" w:rsidP="006830A5">
    <w:pPr>
      <w:pStyle w:val="Header"/>
      <w:jc w:val="right"/>
    </w:pPr>
    <w:r>
      <w:t>November 3,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CE1529"/>
    <w:multiLevelType w:val="hybridMultilevel"/>
    <w:tmpl w:val="FFE6B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A95"/>
    <w:rsid w:val="006830A5"/>
    <w:rsid w:val="006B5597"/>
    <w:rsid w:val="00AF3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AF3A9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F3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3A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A95"/>
    <w:rPr>
      <w:rFonts w:ascii="Tahoma" w:hAnsi="Tahoma" w:cs="Tahoma"/>
      <w:sz w:val="16"/>
      <w:szCs w:val="16"/>
    </w:rPr>
  </w:style>
  <w:style w:type="paragraph" w:styleId="Header">
    <w:name w:val="header"/>
    <w:basedOn w:val="Normal"/>
    <w:link w:val="HeaderChar"/>
    <w:uiPriority w:val="99"/>
    <w:unhideWhenUsed/>
    <w:rsid w:val="006830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0A5"/>
  </w:style>
  <w:style w:type="paragraph" w:styleId="Footer">
    <w:name w:val="footer"/>
    <w:basedOn w:val="Normal"/>
    <w:link w:val="FooterChar"/>
    <w:uiPriority w:val="99"/>
    <w:unhideWhenUsed/>
    <w:rsid w:val="006830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0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AF3A9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F3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3A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A95"/>
    <w:rPr>
      <w:rFonts w:ascii="Tahoma" w:hAnsi="Tahoma" w:cs="Tahoma"/>
      <w:sz w:val="16"/>
      <w:szCs w:val="16"/>
    </w:rPr>
  </w:style>
  <w:style w:type="paragraph" w:styleId="Header">
    <w:name w:val="header"/>
    <w:basedOn w:val="Normal"/>
    <w:link w:val="HeaderChar"/>
    <w:uiPriority w:val="99"/>
    <w:unhideWhenUsed/>
    <w:rsid w:val="006830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0A5"/>
  </w:style>
  <w:style w:type="paragraph" w:styleId="Footer">
    <w:name w:val="footer"/>
    <w:basedOn w:val="Normal"/>
    <w:link w:val="FooterChar"/>
    <w:uiPriority w:val="99"/>
    <w:unhideWhenUsed/>
    <w:rsid w:val="006830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0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4319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DTSAdmin</dc:creator>
  <cp:lastModifiedBy>Emilie Flemer</cp:lastModifiedBy>
  <cp:revision>2</cp:revision>
  <dcterms:created xsi:type="dcterms:W3CDTF">2014-11-05T19:06:00Z</dcterms:created>
  <dcterms:modified xsi:type="dcterms:W3CDTF">2014-11-05T23:51:00Z</dcterms:modified>
</cp:coreProperties>
</file>